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number: 0-24206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PENN Entertainment,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9165" w:type="dxa"/>
        <w:jc w:val="center"/>
        <w:tblInd w:w="0" w:type="dxa"/>
        <w:tblLayout w:type="fixed"/>
        <w:tblCellMar>
          <w:top w:w="28" w:type="dxa"/>
          <w:left w:w="28" w:type="dxa"/>
          <w:bottom w:w="28" w:type="dxa"/>
          <w:right w:w="28" w:type="dxa"/>
        </w:tblCellMar>
      </w:tblPr>
      <w:tblGrid>
        <w:gridCol w:w="1564"/>
        <w:gridCol w:w="1374"/>
        <w:gridCol w:w="1382"/>
        <w:gridCol w:w="364"/>
        <w:gridCol w:w="364"/>
        <w:gridCol w:w="366"/>
        <w:gridCol w:w="375"/>
        <w:gridCol w:w="375"/>
        <w:gridCol w:w="376"/>
        <w:gridCol w:w="766"/>
        <w:gridCol w:w="766"/>
        <w:gridCol w:w="1093"/>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23-2234473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825 Berkshire Blvd., Suite 200</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Wyomissing,</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19610</w:t>
            </w:r>
          </w:p>
        </w:tc>
      </w:tr>
      <w:tr>
        <w:trPr/>
        <w:tc>
          <w:tcPr>
            <w:tcW w:w="6540" w:type="dxa"/>
            <w:gridSpan w:val="9"/>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(610) 373-2400</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828" w:type="dxa"/>
        <w:jc w:val="center"/>
        <w:tblInd w:w="0" w:type="dxa"/>
        <w:tblLayout w:type="fixed"/>
        <w:tblCellMar>
          <w:top w:w="28" w:type="dxa"/>
          <w:left w:w="28" w:type="dxa"/>
          <w:bottom w:w="28" w:type="dxa"/>
          <w:right w:w="28" w:type="dxa"/>
        </w:tblCellMar>
      </w:tblPr>
      <w:tblGrid>
        <w:gridCol w:w="1119"/>
        <w:gridCol w:w="986"/>
        <w:gridCol w:w="1000"/>
        <w:gridCol w:w="484"/>
        <w:gridCol w:w="484"/>
        <w:gridCol w:w="486"/>
        <w:gridCol w:w="956"/>
        <w:gridCol w:w="956"/>
        <w:gridCol w:w="1357"/>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PENN</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6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October 31, 2025, the number of shares of the registrant’s common stock outstanding was 133,249,972 (including 379,941 shares of a subsidiary of registrant which are exchangeable into registrant’s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21"/>
        <w:gridCol w:w="2606"/>
        <w:gridCol w:w="2561"/>
        <w:gridCol w:w="584"/>
        <w:gridCol w:w="584"/>
        <w:gridCol w:w="593"/>
        <w:gridCol w:w="156"/>
      </w:tblGrid>
      <w:tr>
        <w:trPr/>
        <w:tc>
          <w:tcPr>
            <w:tcW w:w="3121"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92f572135b0b478ca136af16d332df4a_10">
              <w:r>
                <w:rPr>
                  <w:rStyle w:val="InternetLink"/>
                  <w:rFonts w:ascii="Times New Roman;serif" w:hAnsi="Times New Roman;serif"/>
                  <w:b/>
                  <w:color w:val="0000FF"/>
                  <w:sz w:val="20"/>
                  <w:u w:val="single"/>
                </w:rPr>
                <w:t>PART I. FINANCIAL INFORMATION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3">
              <w:r>
                <w:rPr>
                  <w:rStyle w:val="InternetLink"/>
                  <w:rFonts w:ascii="Times New Roman;serif" w:hAnsi="Times New Roman;serif"/>
                  <w:b w:val="false"/>
                  <w:color w:val="0000FF"/>
                  <w:sz w:val="20"/>
                  <w:u w:val="single"/>
                </w:rPr>
                <w:t>Item 1. Financial Statements (Unaudited)</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3">
              <w:r>
                <w:rPr>
                  <w:rStyle w:val="InternetLink"/>
                  <w:rFonts w:ascii="Times New Roman;serif" w:hAnsi="Times New Roman;serif"/>
                  <w:b w:val="false"/>
                  <w:color w:val="0000FF"/>
                  <w:sz w:val="20"/>
                  <w:u w:val="single"/>
                </w:rPr>
                <w:t>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92f572135b0b478ca136af16d332df4a_16">
              <w:r>
                <w:rPr>
                  <w:rStyle w:val="InternetLink"/>
                  <w:rFonts w:ascii="Times New Roman;serif" w:hAnsi="Times New Roman;serif"/>
                  <w:b w:val="false"/>
                  <w:color w:val="0000FF"/>
                  <w:sz w:val="20"/>
                  <w:u w:val="single"/>
                </w:rPr>
                <w:t>Consolidated Balance Sheets - September 30, 2025 and December 31, 2024</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6">
              <w:r>
                <w:rPr>
                  <w:rStyle w:val="InternetLink"/>
                  <w:rFonts w:ascii="Times New Roman;serif" w:hAnsi="Times New Roman;serif"/>
                  <w:b w:val="false"/>
                  <w:color w:val="0000FF"/>
                  <w:sz w:val="20"/>
                  <w:u w:val="single"/>
                </w:rPr>
                <w:t>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9">
              <w:r>
                <w:rPr>
                  <w:rStyle w:val="InternetLink"/>
                  <w:rFonts w:ascii="Times New Roman;serif" w:hAnsi="Times New Roman;serif"/>
                  <w:b w:val="false"/>
                  <w:color w:val="0000FF"/>
                  <w:sz w:val="20"/>
                  <w:u w:val="single"/>
                </w:rPr>
                <w:t>Consolidated Statements of Operations - for the Three and Nine Months Ended September 30, 2025 and 2024</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9">
              <w:r>
                <w:rPr>
                  <w:rStyle w:val="InternetLink"/>
                  <w:rFonts w:ascii="Times New Roman;serif" w:hAnsi="Times New Roman;serif"/>
                  <w:b w:val="false"/>
                  <w:color w:val="0000FF"/>
                  <w:sz w:val="20"/>
                  <w:u w:val="single"/>
                </w:rPr>
                <w:t>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22">
              <w:r>
                <w:rPr>
                  <w:rStyle w:val="InternetLink"/>
                  <w:rFonts w:ascii="Times New Roman;serif" w:hAnsi="Times New Roman;serif"/>
                  <w:b w:val="false"/>
                  <w:color w:val="0000FF"/>
                  <w:sz w:val="20"/>
                  <w:u w:val="single"/>
                </w:rPr>
                <w:t>Consolidated Statements of Comprehensive Loss - for the Three and Nine Months Ended September 30, 2025 and 2024</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22">
              <w:r>
                <w:rPr>
                  <w:rStyle w:val="InternetLink"/>
                  <w:rFonts w:ascii="Times New Roman;serif" w:hAnsi="Times New Roman;serif"/>
                  <w:b w:val="false"/>
                  <w:color w:val="0000FF"/>
                  <w:sz w:val="20"/>
                  <w:u w:val="single"/>
                </w:rPr>
                <w:t>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25">
              <w:r>
                <w:rPr>
                  <w:rStyle w:val="InternetLink"/>
                  <w:rFonts w:ascii="Times New Roman;serif" w:hAnsi="Times New Roman;serif"/>
                  <w:b w:val="false"/>
                  <w:color w:val="0000FF"/>
                  <w:sz w:val="20"/>
                  <w:u w:val="single"/>
                </w:rPr>
                <w:t>Consolidated Statements of Changes in Stockholders’ Equity - for the Three and Nine Months Ended September 30, 2025 and 2024</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25">
              <w:r>
                <w:rPr>
                  <w:rStyle w:val="InternetLink"/>
                  <w:rFonts w:ascii="Times New Roman;serif" w:hAnsi="Times New Roman;serif"/>
                  <w:b w:val="false"/>
                  <w:color w:val="0000FF"/>
                  <w:sz w:val="20"/>
                  <w:u w:val="single"/>
                </w:rPr>
                <w:t>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28">
              <w:r>
                <w:rPr>
                  <w:rStyle w:val="InternetLink"/>
                  <w:rFonts w:ascii="Times New Roman;serif" w:hAnsi="Times New Roman;serif"/>
                  <w:b w:val="false"/>
                  <w:color w:val="0000FF"/>
                  <w:sz w:val="20"/>
                  <w:u w:val="single"/>
                </w:rPr>
                <w:t>Consolidated Statements of Cash Flows - for the Nine Months Ended September 30, 2025 and 2024</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28">
              <w:r>
                <w:rPr>
                  <w:rStyle w:val="InternetLink"/>
                  <w:rFonts w:ascii="Times New Roman;serif" w:hAnsi="Times New Roman;serif"/>
                  <w:b w:val="false"/>
                  <w:color w:val="0000FF"/>
                  <w:sz w:val="20"/>
                  <w:u w:val="single"/>
                </w:rPr>
                <w:t>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31">
              <w:r>
                <w:rPr>
                  <w:rStyle w:val="InternetLink"/>
                  <w:rFonts w:ascii="Times New Roman;serif" w:hAnsi="Times New Roman;serif"/>
                  <w:b w:val="false"/>
                  <w:color w:val="0000FF"/>
                  <w:sz w:val="20"/>
                  <w:u w:val="single"/>
                </w:rPr>
                <w:t>Notes to the Consolidated Financial Statements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31">
              <w:r>
                <w:rPr>
                  <w:rStyle w:val="InternetLink"/>
                  <w:rFonts w:ascii="Times New Roman;serif" w:hAnsi="Times New Roman;serif"/>
                  <w:b w:val="false"/>
                  <w:color w:val="0000FF"/>
                  <w:sz w:val="20"/>
                  <w:u w:val="single"/>
                </w:rPr>
                <w:t>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9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97">
              <w:r>
                <w:rPr>
                  <w:rStyle w:val="InternetLink"/>
                  <w:rFonts w:ascii="Times New Roman;serif" w:hAnsi="Times New Roman;serif"/>
                  <w:b w:val="false"/>
                  <w:color w:val="0000FF"/>
                  <w:sz w:val="20"/>
                  <w:u w:val="single"/>
                </w:rPr>
                <w:t>38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30">
              <w:r>
                <w:rPr>
                  <w:rStyle w:val="InternetLink"/>
                  <w:rFonts w:ascii="Times New Roman;serif" w:hAnsi="Times New Roman;serif"/>
                  <w:b w:val="false"/>
                  <w:color w:val="0000FF"/>
                  <w:sz w:val="20"/>
                  <w:u w:val="single"/>
                </w:rPr>
                <w:t>Item 3. Quantitative and Qualitative Disclosure About Market Risk</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30">
              <w:r>
                <w:rPr>
                  <w:rStyle w:val="InternetLink"/>
                  <w:rFonts w:ascii="Times New Roman;serif" w:hAnsi="Times New Roman;serif"/>
                  <w:b w:val="false"/>
                  <w:color w:val="0000FF"/>
                  <w:sz w:val="20"/>
                  <w:u w:val="single"/>
                </w:rPr>
                <w:t>57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33">
              <w:r>
                <w:rPr>
                  <w:rStyle w:val="InternetLink"/>
                  <w:rFonts w:ascii="Times New Roman;serif" w:hAnsi="Times New Roman;serif"/>
                  <w:b w:val="false"/>
                  <w:color w:val="0000FF"/>
                  <w:sz w:val="20"/>
                  <w:u w:val="single"/>
                </w:rPr>
                <w:t>Item 4. Controls and Procedures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33">
              <w:r>
                <w:rPr>
                  <w:rStyle w:val="InternetLink"/>
                  <w:rFonts w:ascii="Times New Roman;serif" w:hAnsi="Times New Roman;serif"/>
                  <w:b w:val="false"/>
                  <w:color w:val="0000FF"/>
                  <w:sz w:val="20"/>
                  <w:u w:val="single"/>
                </w:rPr>
                <w:t>58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92f572135b0b478ca136af16d332df4a_136">
              <w:r>
                <w:rPr>
                  <w:rStyle w:val="InternetLink"/>
                  <w:rFonts w:ascii="Times New Roman;serif" w:hAnsi="Times New Roman;serif"/>
                  <w:b/>
                  <w:color w:val="0000FF"/>
                  <w:sz w:val="20"/>
                  <w:u w:val="single"/>
                </w:rPr>
                <w:t>PART II. OTHER INFORMATION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39">
              <w:r>
                <w:rPr>
                  <w:rStyle w:val="InternetLink"/>
                  <w:rFonts w:ascii="Times New Roman;serif" w:hAnsi="Times New Roman;serif"/>
                  <w:b w:val="false"/>
                  <w:color w:val="0000FF"/>
                  <w:sz w:val="20"/>
                  <w:u w:val="single"/>
                </w:rPr>
                <w:t>Item 1. Legal Proceedings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39">
              <w:r>
                <w:rPr>
                  <w:rStyle w:val="InternetLink"/>
                  <w:rFonts w:ascii="Times New Roman;serif" w:hAnsi="Times New Roman;serif"/>
                  <w:b w:val="false"/>
                  <w:color w:val="0000FF"/>
                  <w:sz w:val="20"/>
                  <w:u w:val="single"/>
                </w:rPr>
                <w:t>59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42">
              <w:r>
                <w:rPr>
                  <w:rStyle w:val="InternetLink"/>
                  <w:rFonts w:ascii="Times New Roman;serif" w:hAnsi="Times New Roman;serif"/>
                  <w:b w:val="false"/>
                  <w:color w:val="0000FF"/>
                  <w:sz w:val="20"/>
                  <w:u w:val="single"/>
                </w:rPr>
                <w:t>Item 1A. Risk Factors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42">
              <w:r>
                <w:rPr>
                  <w:rStyle w:val="InternetLink"/>
                  <w:rFonts w:ascii="Times New Roman;serif" w:hAnsi="Times New Roman;serif"/>
                  <w:b w:val="false"/>
                  <w:color w:val="0000FF"/>
                  <w:sz w:val="20"/>
                  <w:u w:val="single"/>
                </w:rPr>
                <w:t>59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45">
              <w:r>
                <w:rPr>
                  <w:rStyle w:val="InternetLink"/>
                  <w:rFonts w:ascii="Times New Roman;serif" w:hAnsi="Times New Roman;serif"/>
                  <w:b w:val="false"/>
                  <w:color w:val="0000FF"/>
                  <w:sz w:val="20"/>
                  <w:u w:val="single"/>
                </w:rPr>
                <w:t>Item 2. Unregistered Sales of Equity Securities and Use of Proceeds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45">
              <w:r>
                <w:rPr>
                  <w:rStyle w:val="InternetLink"/>
                  <w:rFonts w:ascii="Times New Roman;serif" w:hAnsi="Times New Roman;serif"/>
                  <w:b w:val="false"/>
                  <w:color w:val="0000FF"/>
                  <w:sz w:val="20"/>
                  <w:u w:val="single"/>
                </w:rPr>
                <w:t>62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48">
              <w:r>
                <w:rPr>
                  <w:rStyle w:val="InternetLink"/>
                  <w:rFonts w:ascii="Times New Roman;serif" w:hAnsi="Times New Roman;serif"/>
                  <w:b w:val="false"/>
                  <w:color w:val="0000FF"/>
                  <w:sz w:val="20"/>
                  <w:u w:val="single"/>
                </w:rPr>
                <w:t>Item 5. Other Information</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48">
              <w:r>
                <w:rPr>
                  <w:rStyle w:val="InternetLink"/>
                  <w:rFonts w:ascii="Times New Roman;serif" w:hAnsi="Times New Roman;serif"/>
                  <w:b w:val="false"/>
                  <w:color w:val="0000FF"/>
                  <w:sz w:val="20"/>
                  <w:u w:val="single"/>
                </w:rPr>
                <w:t>63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51">
              <w:r>
                <w:rPr>
                  <w:rStyle w:val="InternetLink"/>
                  <w:rFonts w:ascii="Times New Roman;serif" w:hAnsi="Times New Roman;serif"/>
                  <w:b w:val="false"/>
                  <w:color w:val="0000FF"/>
                  <w:sz w:val="20"/>
                  <w:u w:val="single"/>
                </w:rPr>
                <w:t>Item 6. Exhibits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51">
              <w:r>
                <w:rPr>
                  <w:rStyle w:val="InternetLink"/>
                  <w:rFonts w:ascii="Times New Roman;serif" w:hAnsi="Times New Roman;serif"/>
                  <w:b w:val="false"/>
                  <w:color w:val="0000FF"/>
                  <w:sz w:val="20"/>
                  <w:u w:val="single"/>
                </w:rPr>
                <w:t>64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154">
              <w:r>
                <w:rPr>
                  <w:rStyle w:val="InternetLink"/>
                  <w:rFonts w:ascii="Times New Roman;serif" w:hAnsi="Times New Roman;serif"/>
                  <w:b w:val="false"/>
                  <w:color w:val="0000FF"/>
                  <w:sz w:val="20"/>
                  <w:u w:val="single"/>
                </w:rPr>
                <w:t>Signatures</w:t>
              </w:r>
            </w:hyperlink>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572135b0b478ca136af16d332df4a_154">
              <w:r>
                <w:rPr>
                  <w:rStyle w:val="InternetLink"/>
                  <w:rFonts w:ascii="Times New Roman;serif" w:hAnsi="Times New Roman;serif"/>
                  <w:b w:val="false"/>
                  <w:color w:val="0000FF"/>
                  <w:sz w:val="20"/>
                  <w:u w:val="single"/>
                </w:rPr>
                <w:t>65</w:t>
              </w:r>
            </w:hyperlink>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38"/>
        <w:gridCol w:w="2203"/>
        <w:gridCol w:w="2223"/>
        <w:gridCol w:w="243"/>
        <w:gridCol w:w="968"/>
        <w:gridCol w:w="135"/>
        <w:gridCol w:w="109"/>
        <w:gridCol w:w="109"/>
        <w:gridCol w:w="109"/>
        <w:gridCol w:w="236"/>
        <w:gridCol w:w="943"/>
        <w:gridCol w:w="189"/>
      </w:tblGrid>
      <w:tr>
        <w:trPr/>
        <w:tc>
          <w:tcPr>
            <w:tcW w:w="273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share and per share data)</w:t>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and advances to unconsolidated affiliates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assets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14,310.5 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15,261.7 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financing obligations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liabilities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maturities, debt discounts, and debt issuance costs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financing obligations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operating lease liabilities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finance lease liabilities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12,357.7 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12,403.3 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f572135b0b478ca136af16d332df4a_58">
              <w:r>
                <w:rPr>
                  <w:rStyle w:val="InternetLink"/>
                  <w:rFonts w:ascii="Times New Roman;serif" w:hAnsi="Times New Roman;serif"/>
                  <w:b w:val="false"/>
                  <w:color w:val="0000FF"/>
                  <w:sz w:val="16"/>
                  <w:u w:val="single"/>
                </w:rPr>
                <w:t>Commitments and contingencies (Note 9)</w:t>
              </w:r>
            </w:hyperlink>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B Preferred stock ($0.01 par value, 1,000,000 shares authorized, no shares issued and outstanding)</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C Preferred stock ($0.01 par value, 18,500 shares authorized, no shares issued and outstanding)</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D Preferred stock ($0.01 par value, 5,000 shares authorized, no shares issued and outstanding)</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400,000,000 shares authorized, 178,100,726 and 177,396,073 shares issued, and 137,719,193 and 152,229,171 shares outstanding)</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Exchangeable shares ($0.01 par value, 768,441 shares authorized and issued in both periods, 379,941 and 466,534 shares outstanding)</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(40,381,533 and 25,166,902 shares)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PENN Entertainment, Inc. stockholders’ equity</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15,261.7 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83"/>
        <w:gridCol w:w="997"/>
        <w:gridCol w:w="1008"/>
        <w:gridCol w:w="269"/>
        <w:gridCol w:w="979"/>
        <w:gridCol w:w="139"/>
        <w:gridCol w:w="139"/>
        <w:gridCol w:w="139"/>
        <w:gridCol w:w="139"/>
        <w:gridCol w:w="269"/>
        <w:gridCol w:w="979"/>
        <w:gridCol w:w="139"/>
        <w:gridCol w:w="109"/>
        <w:gridCol w:w="109"/>
        <w:gridCol w:w="109"/>
        <w:gridCol w:w="264"/>
        <w:gridCol w:w="962"/>
        <w:gridCol w:w="136"/>
        <w:gridCol w:w="136"/>
        <w:gridCol w:w="136"/>
        <w:gridCol w:w="136"/>
        <w:gridCol w:w="264"/>
        <w:gridCol w:w="962"/>
        <w:gridCol w:w="203"/>
      </w:tblGrid>
      <w:tr>
        <w:trPr/>
        <w:tc>
          <w:tcPr>
            <w:tcW w:w="148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REIT transaction, net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financing arrangement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PENN Entertainment, Inc.</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per share:</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outstanding—basic</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outstanding—diluted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85"/>
        <w:gridCol w:w="1183"/>
        <w:gridCol w:w="1195"/>
        <w:gridCol w:w="289"/>
        <w:gridCol w:w="925"/>
        <w:gridCol w:w="149"/>
        <w:gridCol w:w="149"/>
        <w:gridCol w:w="149"/>
        <w:gridCol w:w="149"/>
        <w:gridCol w:w="289"/>
        <w:gridCol w:w="781"/>
        <w:gridCol w:w="149"/>
        <w:gridCol w:w="109"/>
        <w:gridCol w:w="109"/>
        <w:gridCol w:w="109"/>
        <w:gridCol w:w="275"/>
        <w:gridCol w:w="878"/>
        <w:gridCol w:w="142"/>
        <w:gridCol w:w="142"/>
        <w:gridCol w:w="142"/>
        <w:gridCol w:w="142"/>
        <w:gridCol w:w="275"/>
        <w:gridCol w:w="878"/>
        <w:gridCol w:w="212"/>
      </w:tblGrid>
      <w:tr>
        <w:trPr/>
        <w:tc>
          <w:tcPr>
            <w:tcW w:w="138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PENN Entertainment, Inc.</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16215" w:type="dxa"/>
        <w:jc w:val="center"/>
        <w:tblInd w:w="0" w:type="dxa"/>
        <w:tblLayout w:type="fixed"/>
        <w:tblCellMar>
          <w:top w:w="28" w:type="dxa"/>
          <w:left w:w="28" w:type="dxa"/>
          <w:bottom w:w="28" w:type="dxa"/>
          <w:right w:w="28" w:type="dxa"/>
        </w:tblCellMar>
      </w:tblPr>
      <w:tblGrid>
        <w:gridCol w:w="519"/>
        <w:gridCol w:w="205"/>
        <w:gridCol w:w="207"/>
        <w:gridCol w:w="203"/>
        <w:gridCol w:w="203"/>
        <w:gridCol w:w="171"/>
        <w:gridCol w:w="109"/>
        <w:gridCol w:w="109"/>
        <w:gridCol w:w="109"/>
        <w:gridCol w:w="181"/>
        <w:gridCol w:w="406"/>
        <w:gridCol w:w="109"/>
        <w:gridCol w:w="109"/>
        <w:gridCol w:w="109"/>
        <w:gridCol w:w="109"/>
        <w:gridCol w:w="541"/>
        <w:gridCol w:w="330"/>
        <w:gridCol w:w="331"/>
        <w:gridCol w:w="109"/>
        <w:gridCol w:w="109"/>
        <w:gridCol w:w="109"/>
        <w:gridCol w:w="181"/>
        <w:gridCol w:w="316"/>
        <w:gridCol w:w="109"/>
        <w:gridCol w:w="109"/>
        <w:gridCol w:w="109"/>
        <w:gridCol w:w="109"/>
        <w:gridCol w:w="315"/>
        <w:gridCol w:w="315"/>
        <w:gridCol w:w="316"/>
        <w:gridCol w:w="109"/>
        <w:gridCol w:w="109"/>
        <w:gridCol w:w="109"/>
        <w:gridCol w:w="181"/>
        <w:gridCol w:w="406"/>
        <w:gridCol w:w="109"/>
        <w:gridCol w:w="109"/>
        <w:gridCol w:w="109"/>
        <w:gridCol w:w="109"/>
        <w:gridCol w:w="181"/>
        <w:gridCol w:w="586"/>
        <w:gridCol w:w="109"/>
        <w:gridCol w:w="109"/>
        <w:gridCol w:w="109"/>
        <w:gridCol w:w="109"/>
        <w:gridCol w:w="181"/>
        <w:gridCol w:w="571"/>
        <w:gridCol w:w="109"/>
        <w:gridCol w:w="109"/>
        <w:gridCol w:w="109"/>
        <w:gridCol w:w="109"/>
        <w:gridCol w:w="181"/>
        <w:gridCol w:w="586"/>
        <w:gridCol w:w="109"/>
        <w:gridCol w:w="109"/>
        <w:gridCol w:w="109"/>
        <w:gridCol w:w="109"/>
        <w:gridCol w:w="239"/>
        <w:gridCol w:w="636"/>
        <w:gridCol w:w="146"/>
        <w:gridCol w:w="109"/>
        <w:gridCol w:w="109"/>
        <w:gridCol w:w="109"/>
        <w:gridCol w:w="195"/>
        <w:gridCol w:w="617"/>
        <w:gridCol w:w="119"/>
        <w:gridCol w:w="327"/>
        <w:gridCol w:w="319"/>
        <w:gridCol w:w="584"/>
        <w:gridCol w:w="193"/>
        <w:gridCol w:w="327"/>
        <w:gridCol w:w="194"/>
        <w:gridCol w:w="615"/>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4" w:type="dxa"/>
            <w:gridSpan w:val="7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September 30, 2025 and 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PENN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 except share data)</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PENN Entertainment, Inc.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July 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145,452,528 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380,478 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2,982.6 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231,410 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(7,965,282)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September 30,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137,719,193 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379,941 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July 1, 2024</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152,116,584 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469,878 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September 30, 2024</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152,156,588 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468,943 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(158.2)</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3,064.7 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3,060.9 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tbl>
      <w:tblPr>
        <w:tblW w:w="16216" w:type="dxa"/>
        <w:jc w:val="center"/>
        <w:tblInd w:w="0" w:type="dxa"/>
        <w:tblLayout w:type="fixed"/>
        <w:tblCellMar>
          <w:top w:w="28" w:type="dxa"/>
          <w:left w:w="28" w:type="dxa"/>
          <w:bottom w:w="28" w:type="dxa"/>
          <w:right w:w="28" w:type="dxa"/>
        </w:tblCellMar>
      </w:tblPr>
      <w:tblGrid>
        <w:gridCol w:w="519"/>
        <w:gridCol w:w="205"/>
        <w:gridCol w:w="207"/>
        <w:gridCol w:w="203"/>
        <w:gridCol w:w="203"/>
        <w:gridCol w:w="171"/>
        <w:gridCol w:w="109"/>
        <w:gridCol w:w="109"/>
        <w:gridCol w:w="109"/>
        <w:gridCol w:w="181"/>
        <w:gridCol w:w="406"/>
        <w:gridCol w:w="109"/>
        <w:gridCol w:w="109"/>
        <w:gridCol w:w="109"/>
        <w:gridCol w:w="109"/>
        <w:gridCol w:w="541"/>
        <w:gridCol w:w="330"/>
        <w:gridCol w:w="331"/>
        <w:gridCol w:w="109"/>
        <w:gridCol w:w="109"/>
        <w:gridCol w:w="109"/>
        <w:gridCol w:w="181"/>
        <w:gridCol w:w="316"/>
        <w:gridCol w:w="109"/>
        <w:gridCol w:w="109"/>
        <w:gridCol w:w="109"/>
        <w:gridCol w:w="109"/>
        <w:gridCol w:w="316"/>
        <w:gridCol w:w="315"/>
        <w:gridCol w:w="316"/>
        <w:gridCol w:w="109"/>
        <w:gridCol w:w="109"/>
        <w:gridCol w:w="109"/>
        <w:gridCol w:w="181"/>
        <w:gridCol w:w="406"/>
        <w:gridCol w:w="109"/>
        <w:gridCol w:w="109"/>
        <w:gridCol w:w="109"/>
        <w:gridCol w:w="109"/>
        <w:gridCol w:w="181"/>
        <w:gridCol w:w="586"/>
        <w:gridCol w:w="109"/>
        <w:gridCol w:w="109"/>
        <w:gridCol w:w="109"/>
        <w:gridCol w:w="109"/>
        <w:gridCol w:w="181"/>
        <w:gridCol w:w="571"/>
        <w:gridCol w:w="109"/>
        <w:gridCol w:w="109"/>
        <w:gridCol w:w="109"/>
        <w:gridCol w:w="109"/>
        <w:gridCol w:w="181"/>
        <w:gridCol w:w="586"/>
        <w:gridCol w:w="109"/>
        <w:gridCol w:w="109"/>
        <w:gridCol w:w="109"/>
        <w:gridCol w:w="109"/>
        <w:gridCol w:w="239"/>
        <w:gridCol w:w="636"/>
        <w:gridCol w:w="146"/>
        <w:gridCol w:w="109"/>
        <w:gridCol w:w="109"/>
        <w:gridCol w:w="109"/>
        <w:gridCol w:w="195"/>
        <w:gridCol w:w="617"/>
        <w:gridCol w:w="119"/>
        <w:gridCol w:w="327"/>
        <w:gridCol w:w="319"/>
        <w:gridCol w:w="584"/>
        <w:gridCol w:w="193"/>
        <w:gridCol w:w="327"/>
        <w:gridCol w:w="194"/>
        <w:gridCol w:w="615"/>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5" w:type="dxa"/>
            <w:gridSpan w:val="7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 2025 and 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PENN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 except share data)</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PENN Entertainment, Inc.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January 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152,229,171 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466,534 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2,862.7 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618,060 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(15,214,631)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86,593 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September 30,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137,719,193 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379,941 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January 1, 2024</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151,552,694 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560,267 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440,467 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issuance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159,372 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(159,372)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September 30, 2024</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152,156,588 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468,943 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(158.2)</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3,064.7 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3,060.9 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69" w:type="dxa"/>
        <w:jc w:val="left"/>
        <w:tblInd w:w="0" w:type="dxa"/>
        <w:tblLayout w:type="fixed"/>
        <w:tblCellMar>
          <w:top w:w="28" w:type="dxa"/>
          <w:left w:w="28" w:type="dxa"/>
          <w:bottom w:w="28" w:type="dxa"/>
          <w:right w:w="28" w:type="dxa"/>
        </w:tblCellMar>
      </w:tblPr>
      <w:tblGrid>
        <w:gridCol w:w="2306"/>
        <w:gridCol w:w="2025"/>
        <w:gridCol w:w="2028"/>
        <w:gridCol w:w="315"/>
        <w:gridCol w:w="1016"/>
        <w:gridCol w:w="175"/>
        <w:gridCol w:w="175"/>
        <w:gridCol w:w="175"/>
        <w:gridCol w:w="175"/>
        <w:gridCol w:w="315"/>
        <w:gridCol w:w="1016"/>
        <w:gridCol w:w="248"/>
      </w:tblGrid>
      <w:tr>
        <w:trPr/>
        <w:tc>
          <w:tcPr>
            <w:tcW w:w="2306"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REIT transaction, net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investment from unconsolidated affiliates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Agreement warrant expense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liabilities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sale-and-leaseback transactions in conjunction with development projects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paid for gaming licenses and other intangible assets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tbl>
      <w:tblPr>
        <w:tblW w:w="9148" w:type="dxa"/>
        <w:jc w:val="left"/>
        <w:tblInd w:w="0" w:type="dxa"/>
        <w:tblLayout w:type="fixed"/>
        <w:tblCellMar>
          <w:top w:w="28" w:type="dxa"/>
          <w:left w:w="28" w:type="dxa"/>
          <w:bottom w:w="28" w:type="dxa"/>
          <w:right w:w="28" w:type="dxa"/>
        </w:tblCellMar>
      </w:tblPr>
      <w:tblGrid>
        <w:gridCol w:w="2006"/>
        <w:gridCol w:w="1761"/>
        <w:gridCol w:w="1768"/>
        <w:gridCol w:w="338"/>
        <w:gridCol w:w="960"/>
        <w:gridCol w:w="188"/>
        <w:gridCol w:w="188"/>
        <w:gridCol w:w="188"/>
        <w:gridCol w:w="188"/>
        <w:gridCol w:w="338"/>
        <w:gridCol w:w="960"/>
        <w:gridCol w:w="265"/>
      </w:tblGrid>
      <w:tr>
        <w:trPr/>
        <w:tc>
          <w:tcPr>
            <w:tcW w:w="200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4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convertible debt</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obligations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insurance financing</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Indemnification payments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rate changes on cash, cash equivalents, and restricted cash</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year</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 of amounts capitalized</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activities: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1—Organization</w:t>
      </w:r>
    </w:p>
    <w:p>
      <w:pPr>
        <w:pStyle w:val="TextBody"/>
        <w:bidi w:val="0"/>
        <w:spacing w:lineRule="auto" w:line="288" w:before="0" w:after="200"/>
        <w:ind w:left="0" w:right="0" w:firstLine="360"/>
        <w:jc w:val="left"/>
        <w:rPr/>
      </w:pPr>
      <w:r>
        <w:rPr>
          <w:rFonts w:ascii="Times New Roman;serif" w:hAnsi="Times New Roman;serif"/>
          <w:b/>
          <w:i/>
          <w:color w:val="000000"/>
          <w:sz w:val="20"/>
        </w:rPr>
        <w:t>Organization:</w:t>
      </w:r>
      <w:r>
        <w:rPr>
          <w:color w:val="000000"/>
        </w:rPr>
        <w:t xml:space="preserve"> </w:t>
      </w:r>
      <w:r>
        <w:rPr>
          <w:rFonts w:ascii="Times New Roman;serif" w:hAnsi="Times New Roman;serif"/>
          <w:b w:val="false"/>
          <w:color w:val="000000"/>
          <w:sz w:val="20"/>
        </w:rPr>
        <w:t>PENN Entertainment, Inc., together with its subsidiaries (“PENN,” the “Company,” “we,” “our,” or “us”), operates in 28 jurisdictions throughout North America, with a broadly diversified portfolio of casinos, racetracks, and online sports betting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over 33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and collectively referred to as the “Master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2—Significant Accounting Policies and Basis of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Basis of Presentation:</w:t>
      </w:r>
      <w:r>
        <w:rPr>
          <w:color w:val="000000"/>
        </w:rPr>
        <w:t xml:space="preserve"> </w:t>
      </w:r>
      <w:r>
        <w:rPr>
          <w:rFonts w:ascii="Times New Roman;serif" w:hAnsi="Times New Roman;serif"/>
          <w:b w:val="false"/>
          <w:color w:val="000000"/>
          <w:sz w:val="20"/>
        </w:rPr>
        <w:t>The unaudited Consolidated Financial Statements of the Company have been prepared in accordance with generally accepted accounting principles in the United States (“GAAP”) for interim financial information and with the rules and regulations of the United States (“U.S.”) Securities and Exchange Commission (the “SEC”). Accordingly, they do not include all of the information and notes required by GAAP for complete consolidated financial statements. In the opinion of management, all adjustments (consisting of normal recurring accruals) considered necessary for a fair statement have been included.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Results of operations and cash flows for the interim periods presented herein are not necessarily indicative of the results that would be achieved during a full year of operations or in future periods. These unaudited Consolidated Financial Statements and notes thereto should be read in conjunction with the Consolidated Financial Statements and notes thereto included in the Company’s Annual Report on Form 10-K for the year ended December 31, 2024.</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Principles of Consolidation: </w:t>
      </w:r>
      <w:r>
        <w:rPr>
          <w:rFonts w:ascii="Times New Roman;serif" w:hAnsi="Times New Roman;serif"/>
          <w:b w:val="false"/>
          <w:color w:val="000000"/>
          <w:sz w:val="20"/>
        </w:rPr>
        <w:t>The unaudited Consolidated Financial Statements include the accounts of PENN Entertainment, Inc. and its subsidiaries. 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Reclassifications: </w:t>
      </w:r>
      <w:r>
        <w:rPr>
          <w:rFonts w:ascii="Times New Roman;serif" w:hAnsi="Times New Roman;serif"/>
          <w:b w:val="false"/>
          <w:color w:val="000000"/>
          <w:sz w:val="20"/>
        </w:rPr>
        <w:t>Certain reclassifications have been made to conform the prior period presentation with current year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The preparation of unaudited Consolidated Financial Statements in conformity with GAAP requires management to make estimates and assumptions that affect (i) the reported amounts of assets and liabilities, (ii) the disclosure of contingent assets and liabilities at the date of the financial statements, and (iii) the reported amounts of revenues and expenses during the reporting period. We applied estimation methods consistently for the periods presented within the unaudited Consolidated Financial Statements. Actual results may differ from those estimates.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Segment Information: </w:t>
      </w:r>
      <w:r>
        <w:rPr>
          <w:rFonts w:ascii="Times New Roman;serif" w:hAnsi="Times New Roman;serif"/>
          <w:b w:val="false"/>
          <w:color w:val="000000"/>
          <w:sz w:val="20"/>
        </w:rPr>
        <w:t xml:space="preserve">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The Northeast, South, West, and Midwest segments (referred to as our “retail segments”) primarily generate revenue from gaming operations (such as slot machines and table games), food and beverage offerings, and hotel visitation. The Interactive segment includes all of our online sports betting, online casino/iCasino, and social gaming (collectively referred to as “online gaming”) operations, management of retail sports bet</w:t>
      </w:r>
      <w:r>
        <w:rPr>
          <w:rFonts w:ascii="Times New Roman;serif" w:hAnsi="Times New Roman;serif"/>
          <w:b w:val="false"/>
          <w:color w:val="000000"/>
          <w:sz w:val="20"/>
          <w:shd w:fill="FFFFFF" w:val="clear"/>
        </w:rPr>
        <w:t>ting, and media operations.</w:t>
      </w:r>
      <w:r>
        <w:rPr>
          <w:color w:val="000000"/>
        </w:rPr>
        <w:t xml:space="preserve"> </w:t>
      </w:r>
      <w:r>
        <w:rPr>
          <w:rFonts w:ascii="Times New Roman;serif" w:hAnsi="Times New Roman;serif"/>
          <w:b w:val="false"/>
          <w:color w:val="000000"/>
          <w:sz w:val="20"/>
        </w:rPr>
        <w:t xml:space="preserve">See </w:t>
      </w:r>
      <w:hyperlink w:anchor="i92f572135b0b478ca136af16d332df4a_76">
        <w:r>
          <w:rPr>
            <w:rStyle w:val="InternetLink"/>
            <w:rFonts w:ascii="Times New Roman;serif" w:hAnsi="Times New Roman;serif"/>
            <w:b w:val="false"/>
            <w:color w:val="0000FF"/>
            <w:sz w:val="20"/>
            <w:u w:val="single"/>
          </w:rPr>
          <w:t>Note 13, “Segment Information”</w:t>
        </w:r>
      </w:hyperlink>
      <w:r>
        <w:rPr>
          <w:color w:val="000000"/>
        </w:rPr>
        <w:t xml:space="preserve"> </w:t>
      </w:r>
      <w:r>
        <w:rPr>
          <w:rFonts w:ascii="Times New Roman;serif" w:hAnsi="Times New Roman;serif"/>
          <w:b w:val="false"/>
          <w:color w:val="000000"/>
          <w:sz w:val="20"/>
        </w:rPr>
        <w:t xml:space="preserve">and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for further segment and lease structure information, respectively. For financial reporting purposes, we aggregate our operating segments into the following reportable segments:</w:t>
      </w:r>
    </w:p>
    <w:tbl>
      <w:tblPr>
        <w:tblW w:w="10205" w:type="dxa"/>
        <w:jc w:val="left"/>
        <w:tblInd w:w="0" w:type="dxa"/>
        <w:tblLayout w:type="fixed"/>
        <w:tblCellMar>
          <w:top w:w="28" w:type="dxa"/>
          <w:left w:w="28" w:type="dxa"/>
          <w:bottom w:w="28" w:type="dxa"/>
          <w:right w:w="28" w:type="dxa"/>
        </w:tblCellMar>
      </w:tblPr>
      <w:tblGrid>
        <w:gridCol w:w="1377"/>
        <w:gridCol w:w="1207"/>
        <w:gridCol w:w="1219"/>
        <w:gridCol w:w="109"/>
        <w:gridCol w:w="109"/>
        <w:gridCol w:w="109"/>
        <w:gridCol w:w="698"/>
        <w:gridCol w:w="695"/>
        <w:gridCol w:w="698"/>
        <w:gridCol w:w="109"/>
        <w:gridCol w:w="109"/>
        <w:gridCol w:w="109"/>
        <w:gridCol w:w="1068"/>
        <w:gridCol w:w="1066"/>
        <w:gridCol w:w="1523"/>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Assets Lease or Ownership Structure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Northeast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Maine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West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Greektown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Detroit, 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Greektown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Lawrenceburg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Morgantown,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Morgantown Lease </w:t>
            </w:r>
            <w:r>
              <w:rPr>
                <w:rFonts w:ascii="Times New Roman;serif" w:hAnsi="Times New Roman;serif"/>
                <w:b w:val="false"/>
                <w:color w:val="000000"/>
                <w:sz w:val="10"/>
              </w:rPr>
              <w:t>(1)</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The Meadows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York,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Lease (not with REIT Landlord)</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Dayton Raceway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Mahoning Valley Race 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Marquee by PENN</w:t>
            </w:r>
            <w:r>
              <w:rPr>
                <w:color w:val="000000"/>
              </w:rPr>
              <w:t xml:space="preserve">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Plainville,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South segment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w:t>
            </w:r>
            <w:r>
              <w:rPr>
                <w:rFonts w:ascii="Times New Roman;serif" w:hAnsi="Times New Roman;serif"/>
                <w:b w:val="false"/>
                <w:color w:val="000000"/>
                <w:sz w:val="10"/>
              </w:rPr>
              <w:t>st</w:t>
            </w:r>
            <w:r>
              <w:rPr>
                <w:color w:val="000000"/>
              </w:rPr>
              <w:t xml:space="preserve"> </w:t>
            </w:r>
            <w:r>
              <w:rPr>
                <w:rFonts w:ascii="Times New Roman;serif" w:hAnsi="Times New Roman;serif"/>
                <w:b w:val="false"/>
                <w:color w:val="000000"/>
                <w:sz w:val="16"/>
              </w:rPr>
              <w:t>Jackpot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Margaritaville Resort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Margaritaville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West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Cactus Petes and Horseshu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 Spa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Midwest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Ameristar Council Bluffs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Argosy Casino Alton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Hollywood Casino at Kansas Speedway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Owned - Joint Venture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Prairie State Gaming</w:t>
            </w:r>
            <w:r>
              <w:rPr>
                <w:color w:val="000000"/>
              </w:rPr>
              <w:t xml:space="preserve">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bl>
    <w:p>
      <w:pPr>
        <w:pStyle w:val="TextBody"/>
        <w:bidi w:val="0"/>
        <w:spacing w:lineRule="auto" w:line="288" w:before="0" w:after="6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16"/>
        </w:rPr>
        <w:t>Upon termination of the Morgantown Lease, ownership of the constructed building and all tenant improvements will transfer from the Company to GLPI.</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(2)VGT route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riverboat is owned by us and not subject to the AR PENN Master Lease.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(4)Pursuant to a joint venture with NASCAR Holdings LLC and includes the Company’s 50% investment in Kansas Entertainment, LLC (“Kansas Entertainment”), which owns Hollywood Casino at Kansas Speedway.</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Revenue Recognition: </w:t>
      </w:r>
      <w:r>
        <w:rPr>
          <w:rFonts w:ascii="Times New Roman;serif" w:hAnsi="Times New Roman;serif"/>
          <w:b w:val="false"/>
          <w:color w:val="000000"/>
          <w:sz w:val="20"/>
        </w:rPr>
        <w:t xml:space="preserve">Our revenue from contracts with customers consists primarily of gaming wagers, inclusive of sports betting and iCasino products, food and beverage transactions, hotel room sales, retail transactions, racing wagers, and third-party revenue sharing agreements. See </w:t>
      </w:r>
      <w:hyperlink w:anchor="i92f572135b0b478ca136af16d332df4a_43">
        <w:r>
          <w:rPr>
            <w:rStyle w:val="InternetLink"/>
            <w:rFonts w:ascii="Times New Roman;serif" w:hAnsi="Times New Roman;serif"/>
            <w:b w:val="false"/>
            <w:color w:val="0000FF"/>
            <w:sz w:val="20"/>
            <w:u w:val="single"/>
          </w:rPr>
          <w:t>Note 4, “Revenue Disaggregation”</w:t>
        </w:r>
      </w:hyperlink>
      <w:r>
        <w:rPr>
          <w:color w:val="000000"/>
        </w:rPr>
        <w:t xml:space="preserve"> </w:t>
      </w:r>
      <w:r>
        <w:rPr>
          <w:rFonts w:ascii="Times New Roman;serif" w:hAnsi="Times New Roman;serif"/>
          <w:b w:val="false"/>
          <w:color w:val="000000"/>
          <w:sz w:val="20"/>
        </w:rPr>
        <w:t>for information on our revenue by type and geographic location.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Complimentaries Associated with Gaming Contracts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 services furnished to patrons for free as an inducement to gamble at our retail properties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tbl>
      <w:tblPr>
        <w:tblW w:w="10205" w:type="dxa"/>
        <w:jc w:val="left"/>
        <w:tblInd w:w="0" w:type="dxa"/>
        <w:tblLayout w:type="fixed"/>
        <w:tblCellMar>
          <w:top w:w="28" w:type="dxa"/>
          <w:left w:w="28" w:type="dxa"/>
          <w:bottom w:w="28" w:type="dxa"/>
          <w:right w:w="28" w:type="dxa"/>
        </w:tblCellMar>
      </w:tblPr>
      <w:tblGrid>
        <w:gridCol w:w="1335"/>
        <w:gridCol w:w="1173"/>
        <w:gridCol w:w="1112"/>
        <w:gridCol w:w="328"/>
        <w:gridCol w:w="795"/>
        <w:gridCol w:w="169"/>
        <w:gridCol w:w="169"/>
        <w:gridCol w:w="169"/>
        <w:gridCol w:w="169"/>
        <w:gridCol w:w="328"/>
        <w:gridCol w:w="795"/>
        <w:gridCol w:w="169"/>
        <w:gridCol w:w="109"/>
        <w:gridCol w:w="109"/>
        <w:gridCol w:w="109"/>
        <w:gridCol w:w="297"/>
        <w:gridCol w:w="868"/>
        <w:gridCol w:w="153"/>
        <w:gridCol w:w="153"/>
        <w:gridCol w:w="153"/>
        <w:gridCol w:w="153"/>
        <w:gridCol w:w="297"/>
        <w:gridCol w:w="868"/>
        <w:gridCol w:w="225"/>
      </w:tblGrid>
      <w:tr>
        <w:trPr/>
        <w:tc>
          <w:tcPr>
            <w:tcW w:w="13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complimentaries associated with gaming contracts</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Company provides discretionary complimentaries in the form of online casino gaming slots and table games and online sports betting free play bonuses. Free play bonuses provided to patrons indirectly contribute to the gaming revenue earned by the Company and are recorded as a reduction of “Gaming” revenues.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Customer-related Liabilities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three general types of liabilities related to contracts with customers: (i) the obligation associated with its PENN Play program (loyalty points and tier status benefits), (ii) advance payments on goods and services yet to be provided and for unpaid wagers, and (iii) deferred revenue associated with third-party online sports betting and/or iCasino for online sports betting and iCasino market access.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Our PENN Play</w:t>
      </w:r>
      <w:r>
        <w:rPr>
          <w:color w:val="000000"/>
        </w:rPr>
        <w:t xml:space="preserve"> </w:t>
      </w:r>
      <w:r>
        <w:rPr>
          <w:rFonts w:ascii="Times New Roman;serif" w:hAnsi="Times New Roman;serif"/>
          <w:b w:val="false"/>
          <w:color w:val="000000"/>
          <w:sz w:val="20"/>
        </w:rPr>
        <w:t>program connects the Company’s brands under one loyalty program and allows members to earn loyalty points, or “PENN Cash,” redeemable for slot play and complimentaries, such as food and beverage at our restaurants, lodging at our hotels, redemptions at the PENN Play marketplace that features popular retailers, and products offered at our retail stores across the vast majority of our properties. In addition, members of the PENN Play program earn credit toward tier status, which entitles them to receive certain other benefits, such as priority access, discounts, gifts, trips to PENN destinations, partner experiences, and PENN Cash. The obligation associated with our PENN Play</w:t>
      </w:r>
      <w:r>
        <w:rPr>
          <w:color w:val="000000"/>
        </w:rPr>
        <w:t xml:space="preserve"> </w:t>
      </w:r>
      <w:r>
        <w:rPr>
          <w:rFonts w:ascii="Times New Roman;serif" w:hAnsi="Times New Roman;serif"/>
          <w:b w:val="false"/>
          <w:color w:val="000000"/>
          <w:sz w:val="20"/>
        </w:rPr>
        <w:t>program, which is included in “Accrued expenses and other current liabilities” within the unaudited Consolidated Balance Sheets, was $27.3 million and $29.7 million as of September 30, 2025 and December 31, 2024, respectively, and consisted primarily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(iv) money deposited in an online wallet for pending and concluded wagers not yet withdrawn; (v) outstanding tickets generated by slot machine play, sports betting, or pari-mutuel wagering; (vi) outstanding chip liabilities; (vii) unclaimed jackpots; and (viii) gift cards redeemable at our properties. Unpaid wagers generally represent obligations stemming from prior wagering events, of which revenue was previously recognized. The Company’s advance payments on goods and services yet to be provided and for unpaid wagers were $134.9 million and $151.4 million as of September 30, 2025 and December 31, 2024, respectively, and are included in “Accrued expenses and other current liabilities” within the unaudited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deferred revenue is primarily related to PENN Interactive, our wholly owned interactive division, which enters into multi-year agreements with third-party online sports betting and/or iCasino operators for online sports betting and iCasino market access across our portfolio of properties.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our deferred revenue balance was $37.6 million and $42.6 million, respectively, the majority of which is included in “Other long-term liabilities” within the unaudited Consolidated Balance Sheets. During the three and nine months ended September 30, 2025, we recognized revenue of $1.2 million and $5.9 million, respectively, that was included in the December 31, 2024 deferred revenue balance. During the three and nine months ended September 30, 2024, we recognized revenue of $1.1 million and $5.3 million, respectively, that was included in the December 31, 2023 deferred revenue balance.</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Advertising: </w:t>
      </w:r>
      <w:r>
        <w:rPr>
          <w:rFonts w:ascii="Times New Roman;serif" w:hAnsi="Times New Roman;serif"/>
          <w:b w:val="false"/>
          <w:color w:val="000000"/>
          <w:sz w:val="20"/>
        </w:rPr>
        <w:t xml:space="preserve">The Company expenses advertising costs the first time the advertising takes place or as incurred. Advertising expenses are primarily included in “Gaming” expenses within the unaudited Consolidated Statements of Operations and were $85.1 million and $99.1 million for the three months ended September 30, 2025 and 2024, respectively, and $270.5 million and $347.4 million for the nine months ended September 30, 2025 and 2024, respectively. Advertising expense includes media marketing services and brand and other rights provided by ESPN, Inc. and ESPN Enterprises Inc. (together, “ESPN”) pursuant to the Sportsbook Agreement (as defined in </w:t>
      </w:r>
      <w:hyperlink w:anchor="i92f572135b0b478ca136af16d332df4a_58">
        <w:r>
          <w:rPr>
            <w:rStyle w:val="InternetLink"/>
            <w:rFonts w:ascii="Times New Roman;serif" w:hAnsi="Times New Roman;serif"/>
            <w:b w:val="false"/>
            <w:color w:val="0000FF"/>
            <w:sz w:val="20"/>
            <w:u w:val="single"/>
          </w:rPr>
          <w:t>Note 9, “Commitments and Contingencies”</w:t>
        </w:r>
      </w:hyperlink>
      <w:r>
        <w:rPr>
          <w:rFonts w:ascii="Times New Roman;serif" w:hAnsi="Times New Roman;serif"/>
          <w:b w:val="false"/>
          <w:color w:val="000000"/>
          <w:sz w:val="20"/>
        </w:rPr>
        <w:t>) and other media placement costs.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Gaming and Pari-mutuel Taxes: </w:t>
      </w:r>
      <w:r>
        <w:rPr>
          <w:rFonts w:ascii="Times New Roman;serif" w:hAnsi="Times New Roman;serif"/>
          <w:b w:val="false"/>
          <w:color w:val="000000"/>
          <w:sz w:val="20"/>
        </w:rPr>
        <w:t>We are subject to gaming and pari-mutuel taxes based on gross gaming revenue and pari-mutuel revenue in the jurisdictions in which we operate, as well as taxes on revenues derived from arrangements which allow for third-party online sports betting and/or iCasino partners to operate online sportsbooks and iCasinos under our gaming licenses. The Company primarily recognizes gaming and pari-mutuel tax expense based on the statutorily required percentage of revenue that is required to be paid to state, provincial and/or local jurisdictions in the states and provinces where or in which the wagering occurs. Also included in gaming and pari-mutuel taxes are costs to support the operations of local regulatory authorities which some jurisdictions require us to pay. Gaming and pari-mutuel taxes are recorded in “Gaming” expenses or “Food, beverage, hotel, and other” expenses within the unaudited Consolidated Statements of Operations and were $630.7 million and $568.5 million for the three months ended September 30, 2025 and 2024, respectively, and $1.9 billion and $1.7 billion for the nine months ended September 30, 2025 and 2024, respectively.</w:t>
      </w:r>
    </w:p>
    <w:p>
      <w:pPr>
        <w:pStyle w:val="TextBody"/>
        <w:bidi w:val="0"/>
        <w:spacing w:lineRule="auto" w:line="288" w:before="0" w:after="200"/>
        <w:ind w:left="0" w:right="0" w:firstLine="360"/>
        <w:jc w:val="left"/>
        <w:rPr/>
      </w:pPr>
      <w:r>
        <w:rPr>
          <w:rFonts w:ascii="Times New Roman;serif" w:hAnsi="Times New Roman;serif"/>
          <w:b/>
          <w:i/>
          <w:color w:val="000000"/>
          <w:sz w:val="20"/>
        </w:rPr>
        <w:t>Foreign Currency Translation:</w:t>
      </w:r>
      <w:r>
        <w:rPr>
          <w:color w:val="000000"/>
        </w:rPr>
        <w:t xml:space="preserve"> </w:t>
      </w:r>
      <w:r>
        <w:rPr>
          <w:rFonts w:ascii="Times New Roman;serif" w:hAnsi="Times New Roman;serif"/>
          <w:b w:val="false"/>
          <w:color w:val="000000"/>
          <w:sz w:val="20"/>
        </w:rPr>
        <w:t>The functional currency of the Company’s foreign subsidiaries is the local currency in which the subsidiary operates. Balance sheet accounts are translated at the exchange rate in effect at each balance sheet date. Translation adjustments resulting from this process are recorded to other comprehensive income or loss. Revenues and expenses are typically translated at the average exchange rates during the year. Gains or losses resulting from foreign currency transactions are included in “Other” within the unaudited Consolidated Statements of Operations.</w:t>
      </w:r>
    </w:p>
    <w:p>
      <w:pPr>
        <w:pStyle w:val="TextBody"/>
        <w:bidi w:val="0"/>
        <w:spacing w:lineRule="auto" w:line="288" w:before="0" w:after="200"/>
        <w:ind w:left="0" w:right="0" w:firstLine="360"/>
        <w:jc w:val="left"/>
        <w:rPr/>
      </w:pPr>
      <w:r>
        <w:rPr>
          <w:rFonts w:ascii="Times New Roman;serif" w:hAnsi="Times New Roman;serif"/>
          <w:b/>
          <w:i/>
          <w:color w:val="000000"/>
          <w:sz w:val="20"/>
        </w:rPr>
        <w:t>Comprehensive Income or Loss and Accumulated Other Comprehensive Income or Loss:</w:t>
      </w:r>
      <w:r>
        <w:rPr>
          <w:color w:val="000000"/>
        </w:rPr>
        <w:t xml:space="preserve"> </w:t>
      </w:r>
      <w:r>
        <w:rPr>
          <w:rFonts w:ascii="Times New Roman;serif" w:hAnsi="Times New Roman;serif"/>
          <w:b w:val="false"/>
          <w:color w:val="000000"/>
          <w:sz w:val="20"/>
        </w:rPr>
        <w:t>Comprehensive income or loss includes net income or loss and all other non-stockholder changes in equity, or other comprehensive income or loss. The balance of accumulated other comprehensive income or loss consists of foreign currency translation adjustments and unrealized gains or losses on debt securities.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Earnings or Loss Per Share: </w:t>
      </w:r>
      <w:r>
        <w:rPr>
          <w:rFonts w:ascii="Times New Roman;serif" w:hAnsi="Times New Roman;serif"/>
          <w:b w:val="false"/>
          <w:color w:val="000000"/>
          <w:sz w:val="20"/>
        </w:rPr>
        <w:t>Basic earnings or loss per share (“EPS”) is computed by dividing net income or loss applicable to common stock by the weighted-average number of common shares outstanding during the period. Diluted EPS reflects the additional dilution, if any, for all potentially-dilutive securities such as warrants, stock options, unvested restricted stock awards (“RSAs”) and restricted stock units (“RSUs”) (collectively with RSAs, “restricted stock”), and convertible debt.</w:t>
      </w:r>
    </w:p>
    <w:p>
      <w:pPr>
        <w:pStyle w:val="TextBody"/>
        <w:bidi w:val="0"/>
        <w:spacing w:lineRule="auto" w:line="288" w:before="0" w:after="200"/>
        <w:ind w:left="0" w:right="0" w:firstLine="360"/>
        <w:jc w:val="left"/>
        <w:rPr/>
      </w:pPr>
      <w:r>
        <w:rPr>
          <w:rFonts w:ascii="Times New Roman;serif" w:hAnsi="Times New Roman;serif"/>
          <w:b/>
          <w:i/>
          <w:color w:val="000000"/>
          <w:sz w:val="20"/>
        </w:rPr>
        <w:t>Guarantees and Indemnifications:</w:t>
      </w:r>
      <w:r>
        <w:rPr>
          <w:color w:val="000000"/>
        </w:rPr>
        <w:t xml:space="preserve"> </w:t>
      </w:r>
      <w:r>
        <w:rPr>
          <w:rFonts w:ascii="Times New Roman;serif" w:hAnsi="Times New Roman;serif"/>
          <w:b w:val="false"/>
          <w:color w:val="000000"/>
          <w:sz w:val="20"/>
        </w:rPr>
        <w:t xml:space="preserve">The Company accounts for indemnity obligations in accordance with ASC Topic 460-20, “Contingencies” and records a liability at fair value. On August 8, 2023, we entered into a stock purchase agreement with David Portnoy (the “Barstool SPA”) and we sold 100% of the outstanding shares of Barstool common stock. Pursuant to the Barstool SPA, the Company agreed to indemnify Barstool and its subsidiaries and David Portnoy for certain tax matters. The indemnity provisions generally provide for the Company’s control of defense and settlement of claims, as well as certain other costs associated with potential tax matters related to Barstool and its subsidiaries and David Portnoy. Claims under the indemnification are paid upon demand. Provisions in the Barstool SPA limit the time within which an indemnification claim can be made to the later of the resolution of the indemnification claim or the relevant statutes of limitations. In the second quarter of 2024, the Company paid $30.5 million in settlement costs under this indemnification obligation. The maximum potential amount of future payments the Company could be required to make under this indemnification agreement is not estimable at this time due to uncertainties related to potential outcomes and other unique facts and circumstances involved in the Barstool SPA. For both periods ended as of September 30, 2025 and December 31, 2024, the Company has recorded a liability of $39.5 million for this agreement. Liabilities associated with the indemnification are recorded in “Other long-term liabilities” within the unaudited Consolidated Balance Sheets. See </w:t>
      </w:r>
      <w:hyperlink w:anchor="i92f572135b0b478ca136af16d332df4a_70">
        <w:r>
          <w:rPr>
            <w:rStyle w:val="InternetLink"/>
            <w:rFonts w:ascii="Times New Roman;serif" w:hAnsi="Times New Roman;serif"/>
            <w:b w:val="false"/>
            <w:color w:val="0000FF"/>
            <w:sz w:val="20"/>
            <w:u w:val="single"/>
          </w:rPr>
          <w:t>Note 12, “Fair Value Measurements”</w:t>
        </w:r>
      </w:hyperlink>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3—New Accounting Pronouncements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Adopted</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In November 2023, the FASB issued ASU 2023-07, “Segment Reporting (Topic 280): Improvements to Reportable Segment Disclosures” (“ASU 2023-07”). ASU 2023-07 updates the requirements for a public entity to disclose its significant segment expense categories and amounts for each reportable segment. A significant segment expense is considered an expense that is significant to the segment, regularly provided to or easily computed from information regularly provided to the chief operating decision maker, and included in the reported measure of segment profit or loss. ASU 2023-07 is effective for fiscal years beginning after December 15, 2023, and interim periods within fiscal years beginning after December 15, 2024. ASU 2023-07 required a retrospective adoption to all prior periods presented in the financial statements. The adoption of ASU 2023-07 resulted in additional disclosures in the notes to the unaudited Consolidated Financial Statements. See </w:t>
      </w:r>
      <w:hyperlink w:anchor="i92f572135b0b478ca136af16d332df4a_76">
        <w:r>
          <w:rPr>
            <w:rStyle w:val="InternetLink"/>
            <w:rFonts w:ascii="Times New Roman;serif" w:hAnsi="Times New Roman;serif"/>
            <w:b w:val="false"/>
            <w:color w:val="0000FF"/>
            <w:sz w:val="20"/>
            <w:u w:val="single"/>
          </w:rPr>
          <w:t>Note 13, “Segment Information.”</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to be Implemented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(“ASU 2023-09”). ASU 2023-09 updates the requirements for a public entity to enhance income tax disclosures to provide a better assessment on how an entity’s operations, related tax risks, tax planning, and operational opportunities affect its tax rate and prospects for future cash flows. ASU 2023-09 is effective for fiscal years beginning after December 15, 2024, on a prospective or retrospective basis, with early adoption permitted. We will adopt the new standard in the Consolidated Financial Statements for the period ending December 31, 2025, with impacts limited to additional disclosures in the notes to the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updates the requirements for a public entity to disclose additional information about specific income statement expense categories in the notes to financial statements. ASU 2024-03 does not change or remove current expense disclosure requirements, however, it affects where this information appears in the notes to financial statements. ASU 2024-03 is effective for fiscal years beginning after December 15, 2026, and interim periods within fiscal years beginning after December 15, 2027, on a prospective or retrospective basis, with early adoption permitted. We are assessing the guidance and currently expect adoption of the new standard to result in additional disclosures in the notes to the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“Debt—Debt with Conversion and Other Options (Subtopic 470-20): Induced Conversions of Convertible Debt Instruments” (“ASU 2024-04”). ASU 2024-04 clarifies the determination of accounting treatment required for settlement of convertible debt (particularly, cash convertible instruments) at terms that differ from the original conversion terms. ASU 2024-04 is effective for fiscal years beginning after December 15, 2025, on a prospective or retrospective basis, with early adoption permitted. The primary purpose of the new ASU 2024-04 is to improve the relevance and consistency in application of the induced conversion guidance in Subtopic 470-20, Debt—Debt with Conversion and Other Options. We are assessing the guidance and currently do not expect the new standard to have a material impact on the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ASU 2025-05 introduces optional relief for entities estimating expected credit losses on accounts receivable and contract assets arising from revenue transactions under ASC 606. The guidance allows entities to apply a practical expedient assuming current conditions persist over the asset’s life, and for certain non-public entities, to consider post-balance sheet cash collections when estimating credit losses. ASU 2025-05 is effective for fiscal years beginning after December 15, 2025, including interim periods, with early adoption permitted. We are currently evaluating the impact of this guidance, and do not expect the new standard to have a material impact on the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The amendments in ASU 2025-06 improve the operability of the guidance by removing all references to software development project stages so that the guidance is neutral to different software development methods, which may impact the timing and extent of cost capitalization for internal-use software. ASU 2025-06 is effective for fiscal years beginning after December 15, 2027, and interim periods within those annual reporting periods, on a prospective, modified, or retrospective basis, with early adoption permitted. We are currently assessing the guidance, and we do not expect the new standard to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4—Revenue Disaggregation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revenues are generated primarily by providing the following types of services: (i) gaming, inclusive of retail sports betting, iCasino, and online sports betting; (ii) food and beverage; (iii) hotel; and (iv) other. Other revenues are primarily comprised of PENN Interactive’s revenues generated from third-party online sports betting and the related gross-up for taxes, racing operations, advertising, retail, and commissions received on ATM transactions. Our revenue is disaggregated by type of revenue and geographic location (with no single foreign country’s revenue representing more than 10% of total consolidated revenues) of the related properties, which is consistent with our reportable segments, as follows:</w:t>
      </w:r>
    </w:p>
    <w:tbl>
      <w:tblPr>
        <w:tblW w:w="10408" w:type="dxa"/>
        <w:jc w:val="left"/>
        <w:tblInd w:w="0" w:type="dxa"/>
        <w:tblLayout w:type="fixed"/>
        <w:tblCellMar>
          <w:top w:w="28" w:type="dxa"/>
          <w:left w:w="28" w:type="dxa"/>
          <w:bottom w:w="28" w:type="dxa"/>
          <w:right w:w="28" w:type="dxa"/>
        </w:tblCellMar>
      </w:tblPr>
      <w:tblGrid>
        <w:gridCol w:w="353"/>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 2025</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08" w:type="dxa"/>
        <w:jc w:val="left"/>
        <w:tblInd w:w="0" w:type="dxa"/>
        <w:tblLayout w:type="fixed"/>
        <w:tblCellMar>
          <w:top w:w="28" w:type="dxa"/>
          <w:left w:w="28" w:type="dxa"/>
          <w:bottom w:w="28" w:type="dxa"/>
          <w:right w:w="28" w:type="dxa"/>
        </w:tblCellMar>
      </w:tblPr>
      <w:tblGrid>
        <w:gridCol w:w="353"/>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 2024</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93" w:type="dxa"/>
        <w:jc w:val="left"/>
        <w:tblInd w:w="0" w:type="dxa"/>
        <w:tblLayout w:type="fixed"/>
        <w:tblCellMar>
          <w:top w:w="28" w:type="dxa"/>
          <w:left w:w="28" w:type="dxa"/>
          <w:bottom w:w="28" w:type="dxa"/>
          <w:right w:w="28" w:type="dxa"/>
        </w:tblCellMar>
      </w:tblPr>
      <w:tblGrid>
        <w:gridCol w:w="353"/>
        <w:gridCol w:w="287"/>
        <w:gridCol w:w="216"/>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 2025</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93" w:type="dxa"/>
        <w:jc w:val="left"/>
        <w:tblInd w:w="0" w:type="dxa"/>
        <w:tblLayout w:type="fixed"/>
        <w:tblCellMar>
          <w:top w:w="28" w:type="dxa"/>
          <w:left w:w="28" w:type="dxa"/>
          <w:bottom w:w="28" w:type="dxa"/>
          <w:right w:w="28" w:type="dxa"/>
        </w:tblCellMar>
      </w:tblPr>
      <w:tblGrid>
        <w:gridCol w:w="353"/>
        <w:gridCol w:w="287"/>
        <w:gridCol w:w="216"/>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 2024</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Other revenues within the Interactive segment are inclusive of gaming tax reimbursement amounts related to third-party online sports betting and/or iCasino partners for online sports betting and iCasino market access of $139.5 million and $104.1 million for the three months ended September 30, 2025 and 2024, respectively, and $405.6 million and $302.8 million for the nine months ended September 30, 2025 and 2024, respectively.</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Primarily represents the elimination of intersegment revenues associated with our retail sportsbooks, which are operated by PENN Interactive.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5—Goodwill and Other Intangible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goodwill and accumulated goodwill impairment losses, by reportable segment, is as follows:</w:t>
      </w:r>
    </w:p>
    <w:tbl>
      <w:tblPr>
        <w:tblW w:w="10205" w:type="dxa"/>
        <w:jc w:val="left"/>
        <w:tblInd w:w="0" w:type="dxa"/>
        <w:tblLayout w:type="fixed"/>
        <w:tblCellMar>
          <w:top w:w="28" w:type="dxa"/>
          <w:left w:w="28" w:type="dxa"/>
          <w:bottom w:w="28" w:type="dxa"/>
          <w:right w:w="28" w:type="dxa"/>
        </w:tblCellMar>
      </w:tblPr>
      <w:tblGrid>
        <w:gridCol w:w="607"/>
        <w:gridCol w:w="344"/>
        <w:gridCol w:w="34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11"/>
        <w:gridCol w:w="766"/>
        <w:gridCol w:w="156"/>
      </w:tblGrid>
      <w:tr>
        <w:trPr/>
        <w:tc>
          <w:tcPr>
            <w:tcW w:w="6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during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Interim Assessment for Impairment - Goodwill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PENN announced the mutual decision for an early termination (the “Termination Agreement”) of its Sportsbook Agreement with ESPN (as defined in </w:t>
      </w:r>
      <w:hyperlink w:anchor="i92f572135b0b478ca136af16d332df4a_58">
        <w:r>
          <w:rPr>
            <w:rStyle w:val="InternetLink"/>
            <w:rFonts w:ascii="Times New Roman;serif" w:hAnsi="Times New Roman;serif"/>
            <w:b w:val="false"/>
            <w:color w:val="0000FF"/>
            <w:sz w:val="20"/>
            <w:u w:val="single"/>
          </w:rPr>
          <w:t>Note 9, “Commitments and Contingencies”</w:t>
        </w:r>
      </w:hyperlink>
      <w:r>
        <w:rPr>
          <w:rFonts w:ascii="Times New Roman;serif" w:hAnsi="Times New Roman;serif"/>
          <w:b w:val="false"/>
          <w:color w:val="000000"/>
          <w:sz w:val="20"/>
        </w:rPr>
        <w:t>). Pursuant to the Termination Agreement, PENN’s exclusive right to use the ESPN BET trademark for online sports betting in the U.S. will end on December 1, 2025. As a result, the Company is realigning its digital focus to leverage the strength of its U.S. iCasino and Canadian operations, while continuing to use online sports betting to drive both the acquisition of customers with significant lifetime value and unique cross-sell opportunities across PENN’s retail and digital assets. The Company plans to rebrand its online sports betting offering in the U.S. to theScore Bet, subject to receipt of regulatory approvals. The realignment of its digital focus led the Company to revise its future cash flow projections for the Interactive reporting unit and to perform a quantitative impairment test during the third quarter of 2025, which resulted in a non-cash impairment charge of $825.0 million. The impairment charge is presented in “Impairment losses” within the unaudited Consolidated Statements of Operations. The estimated fair value of the Interactive goodwill was determined through a combination of a discounted cash flow model and a market-based approach, which utilized Level 3 inputs.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impairment charges recorded to goodwill during the three and nine months ended September 30, 2024.</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gross carrying amount, accumulated amortization, and net carrying amount of each major class of other intangible assets:</w:t>
      </w:r>
    </w:p>
    <w:tbl>
      <w:tblPr>
        <w:tblW w:w="10205" w:type="dxa"/>
        <w:jc w:val="left"/>
        <w:tblInd w:w="0" w:type="dxa"/>
        <w:tblLayout w:type="fixed"/>
        <w:tblCellMar>
          <w:top w:w="28" w:type="dxa"/>
          <w:left w:w="28" w:type="dxa"/>
          <w:bottom w:w="28" w:type="dxa"/>
          <w:right w:w="28" w:type="dxa"/>
        </w:tblCellMar>
      </w:tblPr>
      <w:tblGrid>
        <w:gridCol w:w="524"/>
        <w:gridCol w:w="460"/>
        <w:gridCol w:w="465"/>
        <w:gridCol w:w="219"/>
        <w:gridCol w:w="795"/>
        <w:gridCol w:w="113"/>
        <w:gridCol w:w="109"/>
        <w:gridCol w:w="109"/>
        <w:gridCol w:w="109"/>
        <w:gridCol w:w="285"/>
        <w:gridCol w:w="855"/>
        <w:gridCol w:w="149"/>
        <w:gridCol w:w="109"/>
        <w:gridCol w:w="109"/>
        <w:gridCol w:w="109"/>
        <w:gridCol w:w="217"/>
        <w:gridCol w:w="789"/>
        <w:gridCol w:w="112"/>
        <w:gridCol w:w="109"/>
        <w:gridCol w:w="109"/>
        <w:gridCol w:w="109"/>
        <w:gridCol w:w="219"/>
        <w:gridCol w:w="795"/>
        <w:gridCol w:w="113"/>
        <w:gridCol w:w="109"/>
        <w:gridCol w:w="109"/>
        <w:gridCol w:w="109"/>
        <w:gridCol w:w="285"/>
        <w:gridCol w:w="855"/>
        <w:gridCol w:w="149"/>
        <w:gridCol w:w="109"/>
        <w:gridCol w:w="109"/>
        <w:gridCol w:w="109"/>
        <w:gridCol w:w="217"/>
        <w:gridCol w:w="788"/>
        <w:gridCol w:w="166"/>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licenses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 net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Interim Assessment for Impairment - Other Intangible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24, 2025, PENN announced a development project to relocate its Ameristar Council Bluffs (“ACB”) riverboat casino operations to a new, state-of-the-art land-based facility to be rebranded as Hollywood Casino Council Bluffs. As a result of this strategic rebranding decision, the Company reassessed the indefinite-lived classification of the ACB trademark and concluded the trademark is no longer considered to have an indefinite useful life. The Company performed a quantitative impairment test, then assigned the remaining carrying amount a finite useful life of approximately 2.5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interim assessment for impairment resulted in a non-cash impairment charge of $15.0 million, recorded within the Midwest segment, reflecting the decline in the trademark’s fair value. The primary driver of the impairment was a reduction in the projected revenues attributable to the ACB trademark compared to its prior valuation. The impairment charge is presented in “Impairment losses” within the unaudited Consolidated Statements of Operations. The fair value of the ACB trademark was estimated using a relief-from-royalty discounted cash flow model incorporating Level 3 inputs.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impairment, the remaining carrying amount of $7.0 million will be amortized over its estimated remaining useful life.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impairment charges recorded to other intangible assets, net during the three months ended September 30, 2025 and the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6—Long-Term Debt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long-term debt, net of current maturities, debt discounts, and issuance costs:</w:t>
      </w:r>
    </w:p>
    <w:tbl>
      <w:tblPr>
        <w:tblW w:w="7721" w:type="dxa"/>
        <w:jc w:val="left"/>
        <w:tblInd w:w="0" w:type="dxa"/>
        <w:tblLayout w:type="fixed"/>
        <w:tblCellMar>
          <w:top w:w="28" w:type="dxa"/>
          <w:left w:w="28" w:type="dxa"/>
          <w:bottom w:w="28" w:type="dxa"/>
          <w:right w:w="28" w:type="dxa"/>
        </w:tblCellMar>
      </w:tblPr>
      <w:tblGrid>
        <w:gridCol w:w="1397"/>
        <w:gridCol w:w="1227"/>
        <w:gridCol w:w="1230"/>
        <w:gridCol w:w="344"/>
        <w:gridCol w:w="1249"/>
        <w:gridCol w:w="177"/>
        <w:gridCol w:w="109"/>
        <w:gridCol w:w="109"/>
        <w:gridCol w:w="109"/>
        <w:gridCol w:w="330"/>
        <w:gridCol w:w="1199"/>
        <w:gridCol w:w="241"/>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 due 2027</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A Facility due 2027</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B Facility due 2029</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5.625% Notes due 2027</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 due 2029</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2.75% Convertible Notes due 2026</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future minimum repayments of long-term debt as of September 30, 2025 (in millions):</w:t>
      </w:r>
    </w:p>
    <w:tbl>
      <w:tblPr>
        <w:tblW w:w="6216" w:type="dxa"/>
        <w:jc w:val="left"/>
        <w:tblInd w:w="0" w:type="dxa"/>
        <w:tblLayout w:type="fixed"/>
        <w:tblCellMar>
          <w:top w:w="28" w:type="dxa"/>
          <w:left w:w="28" w:type="dxa"/>
          <w:bottom w:w="28" w:type="dxa"/>
          <w:right w:w="28" w:type="dxa"/>
        </w:tblCellMar>
      </w:tblPr>
      <w:tblGrid>
        <w:gridCol w:w="1840"/>
        <w:gridCol w:w="1617"/>
        <w:gridCol w:w="1628"/>
        <w:gridCol w:w="211"/>
        <w:gridCol w:w="76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(excluding the nine months ended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Amended 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3, 2022, the Company entered into a Second Amended and Restated Credit Agreement with its various lenders (the “Second Amended and Restated Credit Agreement”). The Second Amended and Restated Credit Agreement provides for a $1.0 billion revolving credit facility, undrawn at close,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balances of the previous credit facilities.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rates per annum applicable to loans under the Amended Credit Facilities are, at the Company’s option, equal to either an adjusted secured overnight financing rate (“Term SOFR”) or a base rate, plus an applicable margin. The applicable margin for each of the Amended Revolving Credit Facility and the Amended Term Loan A Facility ranges from 2.25% to 1.50% per annum for Term SOFR loans and 1.25% to 0.50% per annum for base rate loans, in each case depending on the Company’s total net leverage ratio (as defined within the Second Amended and Restated Credit Agreement). The applicable margin for the Amended Term Loan B Facility was 2.75% per annum for Term SOFR loans and 1.75% per annum for base rate loans until the margins were both reduced by 25 basis points pursuant to the Second Amendment Agreement, as discussed and defined below, and effective December 4, 2024. The Amended Term Loan B Facility is subject to a Term SOFR “floor” of 0.50% per annum and a base rate “floor” of 1.50% per annum. In addition, the Company pays a commitment fee on the unused portion of the commitments under the Amended Revolving Credit Facility at a rate that ranges from 0.35% to 0.20% per annum, depending on the Company’s total net leverage ratio (as defined within the Second Amended and Restated Credit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Amended Credit Facilities contain customary covenants that, among other things, restrict, subject to certain exceptions, the ability of the Company and certain of its subsidiaries to grant liens on their assets, incur indebtedness, sell assets, make investments, engage in acquisitions, mergers or consolidations, pay dividends and make other restricted payments and prepay certain indebtedness that is subordinated in right of payment to the obligations under the Amended Credit Facilities. The Amended Credit Facilities contain two financial covenants: a maximum total net leverage ratio (as defined within the Second Amended and Restated Credit Agreement) of 4.50 to 1.00, which is subject to a step up to 5.00 to 1.00 in the case of certain significant acquisitions, and a minimum interest coverage ratio (as defined within the Second Amended and Restated Credit Agreement) of 2.00 to 1.00. The Amended Credit Facilities also contain certain customary affirmative covenants and events of default, including the occurrence of a change of control (as defined in the documents governing the Second Amended and Restated Credit Agreement), termination and certain defaults under the Master Leases, which are discussed in </w:t>
      </w:r>
      <w:hyperlink w:anchor="i92f572135b0b478ca136af16d332df4a_52">
        <w:r>
          <w:rPr>
            <w:rStyle w:val="InternetLink"/>
            <w:rFonts w:ascii="Times New Roman;serif" w:hAnsi="Times New Roman;serif"/>
            <w:b w:val="false"/>
            <w:color w:val="0000FF"/>
            <w:sz w:val="20"/>
            <w:u w:val="single"/>
          </w:rPr>
          <w:t>Note 7, “Leases.”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February 15, 2024 (the “First </w:t>
      </w:r>
      <w:r>
        <w:rPr>
          <w:rFonts w:ascii="Times New Roman;serif" w:hAnsi="Times New Roman;serif"/>
          <w:b w:val="false"/>
          <w:color w:val="000000"/>
          <w:sz w:val="20"/>
          <w:shd w:fill="FFFFFF" w:val="clear"/>
        </w:rPr>
        <w:t>Amendment Effective Date</w:t>
      </w:r>
      <w:r>
        <w:rPr>
          <w:color w:val="000000"/>
        </w:rPr>
        <w:t>”</w:t>
      </w:r>
      <w:r>
        <w:rPr>
          <w:rFonts w:ascii="Times New Roman;serif" w:hAnsi="Times New Roman;serif"/>
          <w:b w:val="false"/>
          <w:color w:val="000000"/>
          <w:sz w:val="20"/>
        </w:rPr>
        <w:t>), PENN entered into a First Amendment (the “First Amendment Agreement”) with its various lenders amending its Amended Credit Facilities. The First Amendment Agreement provided for certain adjustments, during a specified time period (“Covenant Relief Period”), in our calculations to comply with the maximum total net leverage ratio or minimum interest coverage ratio (as such terms are defined in the Second Amended and Restated Credit Agreement). As of September 30, 2025, the Covenant Relief Period has concluded, and we are now required to maintai</w:t>
      </w:r>
      <w:r>
        <w:rPr>
          <w:rFonts w:ascii="Times New Roman;serif" w:hAnsi="Times New Roman;serif"/>
          <w:b w:val="false"/>
          <w:color w:val="000000"/>
          <w:sz w:val="20"/>
          <w:shd w:fill="FFFFFF" w:val="clear"/>
        </w:rPr>
        <w:t>n the specified financial ratios and satisfy the financial tests under the Amended Credit Facilities, as described above.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2024 (the “Second Amendment Effective Date”), PENN entered into a Second Amendment (the “Second Amendment Agreement”) with its various lenders to reduce the interest rate margins applicable to the Company’s approximately $978 million in existing Amended Term Loan B Facility loans from 2.75% to 2.50% for Term SOFR loans, and from 1.75% to 1.50% for base rate loans.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$510.0 million drawn on the Amended Revolving Credit Facility. Additionally, the Company had conditional obligations under letters of credit issued pursuant to the Amended Credit Facilities with face amounts aggregating to $23.9 million, resulting in $466.1 million of available borrowing capacity under the Amended Revolving Credit Facility. As of November 5, 2025, the Company had $500.0 million in outstanding borrowings under its Amended Revolving Credit Facility, resulting in $476.1 million in available borrowing capacity.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2.75% Unsecured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2020, the Company completed a public offering of $330.5 million aggregate principal amount of 2.75% unsecured convertible notes (the “Convertible Notes”) that mature, unless earlier converted, redeemed, or repurchased, on May 15, 2026 at a price of par.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the Company entered into an agreement with certain holders of the Convertible Notes to repurchase $223.8 million aggregate principal amount of the Convertible Notes. As a result of the repurchases on June 20, 2025, the Company recorded a $11.8 million loss on the early extinguishment of debt during the nine months ended September 30, 2025, which is included in “Loss on early extinguishment of debt” within the unaudited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Convertible Notes are scheduled to mature within the next twelve months. Although the stated maturity is within one year, the Company has classified this obligation as long-term based on its intent and ability to refinance on a long-term basis.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no Convertible Notes have been converted into the Company’s common stock. The maximum number of shares that could be issued to satisfy the conversion feature of the Convertible Notes is 5,928,661 as of September 30,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Convertible Notes consisted of the following components:</w:t>
      </w:r>
    </w:p>
    <w:tbl>
      <w:tblPr>
        <w:tblW w:w="6625" w:type="dxa"/>
        <w:jc w:val="left"/>
        <w:tblInd w:w="0" w:type="dxa"/>
        <w:tblLayout w:type="fixed"/>
        <w:tblCellMar>
          <w:top w:w="28" w:type="dxa"/>
          <w:left w:w="28" w:type="dxa"/>
          <w:bottom w:w="28" w:type="dxa"/>
          <w:right w:w="28" w:type="dxa"/>
        </w:tblCellMar>
      </w:tblPr>
      <w:tblGrid>
        <w:gridCol w:w="1123"/>
        <w:gridCol w:w="913"/>
        <w:gridCol w:w="724"/>
        <w:gridCol w:w="397"/>
        <w:gridCol w:w="1165"/>
        <w:gridCol w:w="207"/>
        <w:gridCol w:w="109"/>
        <w:gridCol w:w="109"/>
        <w:gridCol w:w="109"/>
        <w:gridCol w:w="380"/>
        <w:gridCol w:w="1110"/>
        <w:gridCol w:w="279"/>
      </w:tblGrid>
      <w:tr>
        <w:trPr/>
        <w:tc>
          <w:tcPr>
            <w:tcW w:w="112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interest expense, net:</w:t>
      </w:r>
    </w:p>
    <w:tbl>
      <w:tblPr>
        <w:tblW w:w="9348" w:type="dxa"/>
        <w:jc w:val="left"/>
        <w:tblInd w:w="0" w:type="dxa"/>
        <w:tblLayout w:type="fixed"/>
        <w:tblCellMar>
          <w:top w:w="28" w:type="dxa"/>
          <w:left w:w="28" w:type="dxa"/>
          <w:bottom w:w="28" w:type="dxa"/>
          <w:right w:w="28" w:type="dxa"/>
        </w:tblCellMar>
      </w:tblPr>
      <w:tblGrid>
        <w:gridCol w:w="641"/>
        <w:gridCol w:w="563"/>
        <w:gridCol w:w="565"/>
        <w:gridCol w:w="349"/>
        <w:gridCol w:w="1021"/>
        <w:gridCol w:w="180"/>
        <w:gridCol w:w="180"/>
        <w:gridCol w:w="180"/>
        <w:gridCol w:w="180"/>
        <w:gridCol w:w="349"/>
        <w:gridCol w:w="1021"/>
        <w:gridCol w:w="180"/>
        <w:gridCol w:w="109"/>
        <w:gridCol w:w="109"/>
        <w:gridCol w:w="109"/>
        <w:gridCol w:w="340"/>
        <w:gridCol w:w="992"/>
        <w:gridCol w:w="175"/>
        <w:gridCol w:w="175"/>
        <w:gridCol w:w="175"/>
        <w:gridCol w:w="175"/>
        <w:gridCol w:w="340"/>
        <w:gridCol w:w="992"/>
        <w:gridCol w:w="24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interest expense related to the Convertible Notes:</w:t>
      </w:r>
    </w:p>
    <w:tbl>
      <w:tblPr>
        <w:tblW w:w="10205" w:type="dxa"/>
        <w:jc w:val="left"/>
        <w:tblInd w:w="0" w:type="dxa"/>
        <w:tblLayout w:type="fixed"/>
        <w:tblCellMar>
          <w:top w:w="28" w:type="dxa"/>
          <w:left w:w="28" w:type="dxa"/>
          <w:bottom w:w="28" w:type="dxa"/>
          <w:right w:w="28" w:type="dxa"/>
        </w:tblCellMar>
      </w:tblPr>
      <w:tblGrid>
        <w:gridCol w:w="1047"/>
        <w:gridCol w:w="919"/>
        <w:gridCol w:w="907"/>
        <w:gridCol w:w="416"/>
        <w:gridCol w:w="802"/>
        <w:gridCol w:w="215"/>
        <w:gridCol w:w="215"/>
        <w:gridCol w:w="215"/>
        <w:gridCol w:w="215"/>
        <w:gridCol w:w="416"/>
        <w:gridCol w:w="802"/>
        <w:gridCol w:w="215"/>
        <w:gridCol w:w="109"/>
        <w:gridCol w:w="109"/>
        <w:gridCol w:w="109"/>
        <w:gridCol w:w="403"/>
        <w:gridCol w:w="776"/>
        <w:gridCol w:w="208"/>
        <w:gridCol w:w="208"/>
        <w:gridCol w:w="208"/>
        <w:gridCol w:w="208"/>
        <w:gridCol w:w="403"/>
        <w:gridCol w:w="776"/>
        <w:gridCol w:w="304"/>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interest expense</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Debt issuance costs are amortized to interest expense over the term of the Convertible Notes at an effective interest rate of 3.3%. The remaining term of the Convertible Notes is less than twelve months as of September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Amended Credit Facilities, 5.625% Notes due 2027 (the “5.625% Notes”), and 4.125% Notes due 2029 (the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(which are defined in </w:t>
      </w:r>
      <w:hyperlink w:anchor="i92f572135b0b478ca136af16d332df4a_52">
        <w:r>
          <w:rPr>
            <w:rStyle w:val="InternetLink"/>
            <w:rFonts w:ascii="Times New Roman;serif" w:hAnsi="Times New Roman;serif"/>
            <w:b w:val="false"/>
            <w:color w:val="0000FF"/>
            <w:sz w:val="20"/>
            <w:u w:val="single"/>
          </w:rPr>
          <w:t>Note 7, “Leases”</w:t>
        </w:r>
      </w:hyperlink>
      <w:r>
        <w:rPr>
          <w:rFonts w:ascii="Times New Roman;serif" w:hAnsi="Times New Roman;serif"/>
          <w:b w:val="false"/>
          <w:color w:val="000000"/>
          <w:sz w:val="20"/>
        </w:rPr>
        <w:t>), each with GLPI. If we are unable to meet our financial covenants or in the event of a cross-default, it could trigger an acceleration of payment terms.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Long-Term Obligation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2021, we entered into a third-party financing arrangement providing the Company with upfront and non-refundable cash proceeds of $72.5 million while permitting us to participate in future proceeds on certain claims for insurance coverage benefits from the Company’s insurers (the “Insurers”) for economic losses PENN sustained due to the COVID-19 pandemic. On May 7, 2025, the Superior Court of Pennsylvania (the “SCP”) issued a ruling on the Company’s appeal of a lower court’s summary judgment that found in favor of the Insurers, affirming the lower court’s ruling. As a result of the SCP’s ruling, the Company has determined that obligations under these claims are no longer probable. Accordingly, during the quarter ended March 31, 2025, we recognized a non-cash gain, which consists of the cash proceeds received in 2021 of $72.5 million and $142.6 million of accreted non-cash interest. The gain is recorded as “Gain on financing arrangement” within the unaudited Consolidated Statements of Operations for the nine months ended September 30,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recognizing the non-cash gain, as described above, the financing obligation was classified as a non-current liability and had a $201.2 million balance as of December 31, 2024. Consistent with an obligor’s accounting under a debt instrument, period interest was accreted using an effective interest rate of 27.0% until the time that the claims and related obligations were resolved. The amount included in “Interest expense, net” related to this obligation was zero and $12.1 million for the three months ended September 30, 2025 and 2024, respectively, and $13.9 million and $34.1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7—Leases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Master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contained within the Master Leases are accounted for as either (i) operating leases, (ii) finance leases, or (iii) financing obligations. Changes to future lease payments that are not fixed within the Master Leases (i.e., when future escalators become known or future variable rent resets occur), which are discussed below, require the Company to either (i) increase both the right-of-use (“ROU”) assets and corresponding lease liabilities with respect to operating and finance leases or (ii) record the incremental variable payment associated with the financing obligation to interest expense.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AR PENN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21, 2023, the Company and GLPI entered into an agreement to amend and restate the triple net master lease dated November 1, 2013 (the “AR PENN Master Lease”), effective January 1, 2023, to (i) remove the land and buildings for Hollywood Casino Aurora (“Aurora”), Hollywood Casino Joliet (“Joliet”), Hollywood Casino Columbus (“Columbus”), Hollywood Casino Toledo (“Toledo”), and the M Resort Spa Casino (“M Resort”), and (ii) make associated adjustments to the rent.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terms of five years each on the same terms and conditions, exercisable at the Company’s option. The AR PENN Master Lease along with the 2023 Master Lease (as defined and discussed below) are cross-defaulted, cross-collateralized, and coterminous, and subject to a parent guarantee.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AR PENN Master Lease includes a fixed component, a portion of which is subject to an annual escalator of up to 2%, depending on the Adjusted Revenue to Rent Ratio (as defined in the AR PENN Master Lease) of 1.8:1, and a component that is based on performance, which is prospectively adjusted every five years by an amount equal to 4% of the average change in net revenues of all properties associated with the AR PENN Master Lease compared to a contractual baseline during the preceding five years (“AR PENN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AR PENN Master Lease are classified as operating leases and are recorded to “General and administrative” within the unaudited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annual escalator, effective November 1, 2025, for the lease year ending October 31, 2025, the fixed component of rent increased by $4.3 million. The next AR PENN Percentage Rent reset is scheduled to occur on November 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and AR PENN Master Lease are cross-defaulted, cross-collateralized, and coterminous, and subject to a parent guarantee.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2023 Master Lease includes a base rent (the “2023 Master Lease Base Rent”) and the Master Development Agreement contains additional rent (together with the 2023 Master Lease Base Rent, the “2023 Master Lease Rent”) equal to (i) 7.75% of any project funding received by PENN from GLPI for the relocation of our riverboat casino and related developments with respect to Aurora (the “Aurora Project”); and (ii) a percentage, based on the then-current GLPI stock price, of any project funding received by PENN from GLPI for the development projects with respect to Joliet (the “Joliet Project”), M Resort (the “M Resort Project”), and Columbus (the “Columbus Project” and together with the Joliet Project and M Resort Project, the “Other Development Projects,” and together with the Aurora Project, referred to as the “PENN Development Projects”). The Master Development Agreement provides that GLPI will fund up to $225.0 million for the Aurora Project and, upon our request, up to $130.0 million for the Joliet Project, up to $150.0 million for the M Resort Project, and up to $70.0 million for the Columbus Project, in accordance with certain terms and conditions set forth in the Master Development Agreement. These funding obligations of GLPI expire on January 1, 2026, provided that (i) for the Columbus Project, if the Company provides notice to GLPI by December 31, 2025 that the Company is electing to receive GLPI funding, the Company shall submit a draw notice for such project by no later than March 31, 2026 requesting to receive GLPI funds by no later than June 30, 2026 and (ii) for the Aurora Project, the Company shall submit a draw notice for such project by no later than March 31, 2026 requesting to receive GLPI funds by no later than June 30, 2026. The 2023 Master Lease Rent will be subject to a one-time increase of $1.4 million, effective November 1, 2027. The 2023 Master Lease Rent is subject to an annual fixed escalator rent increase of 1.5% which began on November 1, 2023 and will continue to increase annually thereafter.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PENN Development Projects are all subject to necessary regulatory and other government approvals.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 2025, the Company received the full $130.0 million in committed funding from GLPI for the Joliet Project which opened on August 11, 2025, and on November 3, 2025, the Company received the full $150.0 million in committed funding from GLPI for the M Resort Project, of which the new hotel tower is expected to open on December 1, 2025. We have neither requested nor received any funding from GLPI for the Aurora Project or Columbus Project.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August 1, 2025, we determined that the sale-and-lease back of real estate assets related to the new Joliet facility to GLPI for $130.0 million constituted a lease modification under ASC Topic 842, “Leases,” (“ASC 842”).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August 1, 2025 lease modification, the Company reassessed the land and building components and remeasured the related lease liabilities. The assessment and remeasurement included the following elements: (i) the removal of the previously leased Joliet facility assets; (ii) the addition of the newly leased Joliet facility assets; and (iii) a $10.1 million increase in annual rent, which is specific to the lease back of the real estate assets related to the new Joliet facility, subject to annual escalation in accordance with the 2023 Master Lease. The modification did not result in a change to the lease classification, and all lease components continue to be accounted for as operating leases. Remeasurement of the related operating lease liabilities resulted in a $3.3 million gain, recognized in “Gain on REIT transaction, net” in the unaudited Consolidated Statements of Operations. As of the modification date, the Company recognized $166.3 million in ROU assets and $163.0 million in corresponding lease liabilities 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concluded that the lease term will continue to end on the current lease expiration date of October 31, 2033, and that the three optional five-year renewal terms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quarter end, we also determined that the sale-and-lease back of real estate assets related to the new M Resort hotel tower to GLPI for $150.0 million constituted a lease modification under ASC 842, effective November 3, 2025. This sale-and-leaseback transaction resulted in a $11.7 million increase in annual rent, subject to annual escalation in accordance with the 2023 Master Lease. We are in the process of reassessing and remeasuring the lease components and quantifying the impact of this transaction on the Consolidated Financial Statements, which may be material.</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Pinnacle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Pinnacle Entertainment, Inc.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performance of the properties, which is prospectively adjusted every two years by an amount equal to 4% of the average change in net revenues compared to a contractual baseline during the preceding two years (“Pinnacle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Pinnacle Master Lease contains land and building components that are classified as finance leases and financing obligations. Lease components classified as a finance lease are recorded to “Depreciation and amortization” and “Interest expense, net” within the unaudited Consolidated Statements of Operations. The Company recognizes interest expense on the lease payments related to the financing obligation under the effective yield method.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incur an annual escalator for the lease year ended April 30, 2025. The next annual escalator test date and Pinnacle Percentage Rent reset are both scheduled to occur on May 1,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Triple Net Leases with REIT Landlords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Morgantown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 2020, the Company entered into an individual triple net lease with a subsidiary of GLPI for the land underlying our development project in Morgantown, Pennsylvania (“Morgantown Lease”) in exchange for $30.0 million in rent credits.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initial term of the Morgantown Lease is 20 years with six subsequent, five-year renewal periods, exercisable at the Company’s option. Initial annual rent under the Morgantown Lease is $3.0 million, subject to a 1.50% fixed annual escalation in each of the first three years subsequent to the facility opening, which occurred on December 22, 2021. Thereafter, the lease will be subject to an annual escalator consisting of either (i) 1.25%, if the consumer price index increase is greater than 0.50%, or (ii) zero, if the consumer price index increase is less than 0.50%. 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concluded control of the land underlying the Morgantown facility was not passed from the Company to the lessor in accordance with ASC 842. As such we recognized a financing obligation in accordance with ASC Topic 470, “Debt,” (“ASC 470”) and continue to recognize the underlying land asset in “Property and equipment, net” within the unaudited Consolidated Balance Sheets. The Company recognizes interest expense on the lease payments related to the financing obligation under the effective yield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Margaritaville Lease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1, 2019, the Company entered into an individual triple net lease with VICI Properties Inc. (NYSE: VICI) (“VICI”) for the real estate assets used in the operations of Margaritaville Resort Casino (the “Margaritaville Lease”). The Margaritaville Lease has an initial term of 15 years, with four subsequent five-year renewal options on the same terms and conditions, exercisable at the Company’s option. The payment structure under the Margaritaville Lease includes a fixed component, a portion that is subject to an annual escalator of up to 2% depending on a minimum coverage floor ratio of Net Revenue to Rent of 6.1:1, and a component that is based on performance, which is prospectively adjusted every two years by an amount equal to 4% of the average change in net revenues of the property compared to a contractual baseline during the preceding two years (“Margaritaville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annual escalator test, effective as of February 1 for the lease year ended January 31, the fixed components of rent and an additional ROU asset and corresponding lease liability were recognized as follows:</w:t>
      </w:r>
    </w:p>
    <w:tbl>
      <w:tblPr>
        <w:tblW w:w="5030" w:type="dxa"/>
        <w:jc w:val="left"/>
        <w:tblInd w:w="0" w:type="dxa"/>
        <w:tblLayout w:type="fixed"/>
        <w:tblCellMar>
          <w:top w:w="28" w:type="dxa"/>
          <w:left w:w="28" w:type="dxa"/>
          <w:bottom w:w="28" w:type="dxa"/>
          <w:right w:w="28" w:type="dxa"/>
        </w:tblCellMar>
      </w:tblPr>
      <w:tblGrid>
        <w:gridCol w:w="1544"/>
        <w:gridCol w:w="1355"/>
        <w:gridCol w:w="1360"/>
        <w:gridCol w:w="211"/>
        <w:gridCol w:w="406"/>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 escalator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Margaritaville Percentage Rent reset on February 1, 2025 and will be effective until the next Margaritaville Percentage Rent reset, scheduled to occur on February 1, 2027. As a result of the Margaritaville Percentage Rent reset for the lease year ended January 31, the performance-based component of rent and an additional ROU asset and corresponding lease liability were recognized as follows:</w:t>
      </w:r>
    </w:p>
    <w:tbl>
      <w:tblPr>
        <w:tblW w:w="5225" w:type="dxa"/>
        <w:jc w:val="left"/>
        <w:tblInd w:w="0" w:type="dxa"/>
        <w:tblLayout w:type="fixed"/>
        <w:tblCellMar>
          <w:top w:w="28" w:type="dxa"/>
          <w:left w:w="28" w:type="dxa"/>
          <w:bottom w:w="28" w:type="dxa"/>
          <w:right w:w="28" w:type="dxa"/>
        </w:tblCellMar>
      </w:tblPr>
      <w:tblGrid>
        <w:gridCol w:w="1613"/>
        <w:gridCol w:w="1416"/>
        <w:gridCol w:w="1425"/>
        <w:gridCol w:w="211"/>
        <w:gridCol w:w="40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to the performance-based component of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Margaritaville Lease are classified as operating leases and are recorded to “General and administrative” within the unaudited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Greektown Lease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23, 2019, the Company entered into an individual triple net lease with VICI for the real estate assets used in the operations of Hollywood Casino at Greektown (the “Greektown Lease”). The Greektown Lease has an initial term of 15 years, with four subsequent five-year renewal options on the same terms and conditions, exercisable at the Company’s option. The payment structure under the Greektown Lease includes a fixed component, a portion subject to an annual escalator of up to 2% initially determined based on an Adjusted Revenue to Rent ratio, as defined in the Greektown Lease, and subsequently amended to be determined based on an agreed upon minimum coverage floor ratio of Net Revenue to Rent, and a component that is based on performance, which is prospectively adjusted every two years by an amount equal to 4% of the average change in net revenues of the property compared to a contractual baseline during the preceding two years (“Greektown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 2024, the lease was amended to provide for a Net Revenue to Rent coverage floor to be mutually agreed upon prior to the commencement of the ninth lease year beginning on June 1, 2027.</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Greektown Lease are classified as operating leases and are recorded to “General and administrative” within the unaudited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incur an annual escalator for the lease year ended May 31, 2025. The next annual escalator test date is scheduled to occur on June 1, 2026.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Greektown Percentage Rent reset on June 1, 2025 and will be effective until the next Greektown Percentage Rent reset, scheduled to occur on June 1, 2027. As a result of the Greektown Percentage Rent reset for the lease year ended May 31, the performance-based component of rent and an additional ROU asset and corresponding lease liability were recognized as follows:</w:t>
      </w:r>
    </w:p>
    <w:tbl>
      <w:tblPr>
        <w:tblW w:w="5165" w:type="dxa"/>
        <w:jc w:val="left"/>
        <w:tblInd w:w="0" w:type="dxa"/>
        <w:tblLayout w:type="fixed"/>
        <w:tblCellMar>
          <w:top w:w="28" w:type="dxa"/>
          <w:left w:w="28" w:type="dxa"/>
          <w:bottom w:w="28" w:type="dxa"/>
          <w:right w:w="28" w:type="dxa"/>
        </w:tblCellMar>
      </w:tblPr>
      <w:tblGrid>
        <w:gridCol w:w="1592"/>
        <w:gridCol w:w="1397"/>
        <w:gridCol w:w="1405"/>
        <w:gridCol w:w="211"/>
        <w:gridCol w:w="406"/>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to the performance-based component of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ROU asset and lease liability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the Master Leases, the Morgantown Lease, the Margaritaville Lease, and the Greektown Lease, collectively, as our “Triple Net 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Non-REIT Operating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any operating lease components contained within the Master Leases, Margaritaville Lease, and Greektown Lease (collectively referred to as “triple net operating leases”), the Company’s operating leases consist of (i) ground and levee leases to landlords which were not assumed by our REIT Landlords and remain an obligation of the Company; and (ii) buildings and equipment not associated with our REIT Landlords.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maturity analysis of our operating leases, finance leases, and financing obligations as of September 30, 2025:</w:t>
      </w:r>
    </w:p>
    <w:tbl>
      <w:tblPr>
        <w:tblW w:w="10205" w:type="dxa"/>
        <w:jc w:val="left"/>
        <w:tblInd w:w="0" w:type="dxa"/>
        <w:tblLayout w:type="fixed"/>
        <w:tblCellMar>
          <w:top w:w="28" w:type="dxa"/>
          <w:left w:w="28" w:type="dxa"/>
          <w:bottom w:w="28" w:type="dxa"/>
          <w:right w:w="28" w:type="dxa"/>
        </w:tblCellMar>
      </w:tblPr>
      <w:tblGrid>
        <w:gridCol w:w="1710"/>
        <w:gridCol w:w="1491"/>
        <w:gridCol w:w="1491"/>
        <w:gridCol w:w="299"/>
        <w:gridCol w:w="1087"/>
        <w:gridCol w:w="154"/>
        <w:gridCol w:w="109"/>
        <w:gridCol w:w="109"/>
        <w:gridCol w:w="109"/>
        <w:gridCol w:w="265"/>
        <w:gridCol w:w="962"/>
        <w:gridCol w:w="136"/>
        <w:gridCol w:w="109"/>
        <w:gridCol w:w="109"/>
        <w:gridCol w:w="109"/>
        <w:gridCol w:w="362"/>
        <w:gridCol w:w="1321"/>
        <w:gridCol w:w="273"/>
      </w:tblGrid>
      <w:tr>
        <w:trPr/>
        <w:tc>
          <w:tcPr>
            <w:tcW w:w="171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Obligations</w:t>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nine months ended September 30, 2025)</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4,371.4 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2,354.6 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obligations</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under our Triple Net Leases were as follows:</w:t>
      </w:r>
    </w:p>
    <w:tbl>
      <w:tblPr>
        <w:tblW w:w="9618" w:type="dxa"/>
        <w:jc w:val="left"/>
        <w:tblInd w:w="0" w:type="dxa"/>
        <w:tblLayout w:type="fixed"/>
        <w:tblCellMar>
          <w:top w:w="28" w:type="dxa"/>
          <w:left w:w="28" w:type="dxa"/>
          <w:bottom w:w="28" w:type="dxa"/>
          <w:right w:w="28" w:type="dxa"/>
        </w:tblCellMar>
      </w:tblPr>
      <w:tblGrid>
        <w:gridCol w:w="739"/>
        <w:gridCol w:w="649"/>
        <w:gridCol w:w="651"/>
        <w:gridCol w:w="349"/>
        <w:gridCol w:w="1021"/>
        <w:gridCol w:w="180"/>
        <w:gridCol w:w="180"/>
        <w:gridCol w:w="180"/>
        <w:gridCol w:w="180"/>
        <w:gridCol w:w="349"/>
        <w:gridCol w:w="1021"/>
        <w:gridCol w:w="180"/>
        <w:gridCol w:w="109"/>
        <w:gridCol w:w="109"/>
        <w:gridCol w:w="109"/>
        <w:gridCol w:w="340"/>
        <w:gridCol w:w="992"/>
        <w:gridCol w:w="175"/>
        <w:gridCol w:w="175"/>
        <w:gridCol w:w="175"/>
        <w:gridCol w:w="175"/>
        <w:gridCol w:w="340"/>
        <w:gridCol w:w="992"/>
        <w:gridCol w:w="248"/>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Margaritaville Lease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Greektown Lease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Morgantown Lease </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lease term and discount rate was as follows:</w:t>
      </w:r>
    </w:p>
    <w:tbl>
      <w:tblPr>
        <w:tblW w:w="7615" w:type="dxa"/>
        <w:jc w:val="left"/>
        <w:tblInd w:w="0" w:type="dxa"/>
        <w:tblLayout w:type="fixed"/>
        <w:tblCellMar>
          <w:top w:w="28" w:type="dxa"/>
          <w:left w:w="28" w:type="dxa"/>
          <w:bottom w:w="28" w:type="dxa"/>
          <w:right w:w="28" w:type="dxa"/>
        </w:tblCellMar>
      </w:tblPr>
      <w:tblGrid>
        <w:gridCol w:w="1359"/>
        <w:gridCol w:w="1194"/>
        <w:gridCol w:w="1196"/>
        <w:gridCol w:w="394"/>
        <w:gridCol w:w="394"/>
        <w:gridCol w:w="982"/>
        <w:gridCol w:w="109"/>
        <w:gridCol w:w="109"/>
        <w:gridCol w:w="109"/>
        <w:gridCol w:w="360"/>
        <w:gridCol w:w="360"/>
        <w:gridCol w:w="1049"/>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918"/>
        <w:gridCol w:w="679"/>
        <w:gridCol w:w="685"/>
        <w:gridCol w:w="672"/>
        <w:gridCol w:w="631"/>
        <w:gridCol w:w="633"/>
        <w:gridCol w:w="109"/>
        <w:gridCol w:w="109"/>
        <w:gridCol w:w="109"/>
        <w:gridCol w:w="254"/>
        <w:gridCol w:w="743"/>
        <w:gridCol w:w="131"/>
        <w:gridCol w:w="131"/>
        <w:gridCol w:w="131"/>
        <w:gridCol w:w="131"/>
        <w:gridCol w:w="254"/>
        <w:gridCol w:w="743"/>
        <w:gridCol w:w="131"/>
        <w:gridCol w:w="109"/>
        <w:gridCol w:w="109"/>
        <w:gridCol w:w="109"/>
        <w:gridCol w:w="251"/>
        <w:gridCol w:w="734"/>
        <w:gridCol w:w="129"/>
        <w:gridCol w:w="129"/>
        <w:gridCol w:w="129"/>
        <w:gridCol w:w="129"/>
        <w:gridCol w:w="251"/>
        <w:gridCol w:w="734"/>
        <w:gridCol w:w="198"/>
      </w:tblGrid>
      <w:tr>
        <w:trPr/>
        <w:tc>
          <w:tcPr>
            <w:tcW w:w="91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Location on unaudited </w:t>
              <w:b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associated with triple net operating leases</w:t>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(1)</w:t>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lease liabilities </w:t>
            </w:r>
            <w:r>
              <w:rPr>
                <w:rFonts w:ascii="Times New Roman;serif" w:hAnsi="Times New Roman;serif"/>
                <w:b w:val="false"/>
                <w:color w:val="000000"/>
                <w:sz w:val="13"/>
              </w:rPr>
              <w:t>(2)</w:t>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ROU assets </w:t>
            </w:r>
            <w:r>
              <w:rPr>
                <w:rFonts w:ascii="Times New Roman;serif" w:hAnsi="Times New Roman;serif"/>
                <w:b w:val="false"/>
                <w:color w:val="000000"/>
                <w:sz w:val="13"/>
              </w:rPr>
              <w:t>(2)</w:t>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Obligation Costs</w:t>
            </w:r>
          </w:p>
        </w:tc>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financing obligations </w:t>
            </w:r>
            <w:r>
              <w:rPr>
                <w:rFonts w:ascii="Times New Roman;serif" w:hAnsi="Times New Roman;serif"/>
                <w:b w:val="false"/>
                <w:color w:val="000000"/>
                <w:sz w:val="13"/>
              </w:rPr>
              <w:t>(3)</w:t>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Excludes the operating lease costs and variable lease costs pertaining to our triple net leases with our REIT landlords classified as operating leases.</w:t>
      </w:r>
    </w:p>
    <w:p>
      <w:pPr>
        <w:pStyle w:val="TextBody"/>
        <w:bidi w:val="0"/>
        <w:spacing w:lineRule="auto" w:line="288" w:before="0" w:after="6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(2) Pertains to finance lease components associated with the Pinnacle Master Lease (primarily land).</w:t>
      </w:r>
    </w:p>
    <w:p>
      <w:pPr>
        <w:pStyle w:val="TextBody"/>
        <w:bidi w:val="0"/>
        <w:spacing w:lineRule="auto" w:line="288" w:before="0" w:after="20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(3) Pertains to the components contained within the Pinnacle Master Lease (buildings) and the Morgantown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7211" w:type="dxa"/>
        <w:jc w:val="left"/>
        <w:tblInd w:w="0" w:type="dxa"/>
        <w:tblLayout w:type="fixed"/>
        <w:tblCellMar>
          <w:top w:w="28" w:type="dxa"/>
          <w:left w:w="28" w:type="dxa"/>
          <w:bottom w:w="28" w:type="dxa"/>
          <w:right w:w="28" w:type="dxa"/>
        </w:tblCellMar>
      </w:tblPr>
      <w:tblGrid>
        <w:gridCol w:w="1305"/>
        <w:gridCol w:w="1146"/>
        <w:gridCol w:w="1148"/>
        <w:gridCol w:w="356"/>
        <w:gridCol w:w="1041"/>
        <w:gridCol w:w="184"/>
        <w:gridCol w:w="184"/>
        <w:gridCol w:w="184"/>
        <w:gridCol w:w="184"/>
        <w:gridCol w:w="356"/>
        <w:gridCol w:w="863"/>
        <w:gridCol w:w="260"/>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lease activities:</w:t>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operating leases</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operating lease liabilities</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finance leases</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its provision for income taxes during interim reporting periods by applying an estimate of the annual effective tax rate to its year-to-date pre-tax book income or loss. The tax effects of discrete items are recognized in the period in which they occur. The effective tax rate (income taxes as a percentage of income from operations before income taxes) including discrete items was (56.7)% and 32.2% for the three and nine months ended September 30, 2025, respectively, compared to 23.1% and 18.6% for the three and nine months ended September 30, 2024, respectively.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the effective tax rate for the three and nine months ended September 30, 2025, as compared to the prior-year periods, was primarily driven by (i) the exclusion of certain foreign losses for which no tax benefit can be recognized in the Company’s worldwide effective tax rate calculation; (ii) non-deductible permanent items; (iii) state income taxes; and (iv) changes in the valuation allowance. The effective tax rate may vary from period to period depending on, among other factors, the geographic and business mix of the Company’s earnings, changes in its valuation allowance assessment, and other factors, including the Company’s historical and projected pre-tax earnings, which are considered in evaluating the realizability of deferred tax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each reporting date, the Company evaluates all available positive and negative evidence in assessing the realizability of deferred tax assets, in accordance with ASC Topic 740, “Income Taxes” (“ASC 740”). As of September 30, 2025, the Company continues to maintain a valuation allowance on deferred tax assets not considered “more likely than not” to be realized. A reduction in the valuation allowance could result in a significant decrease in income tax expense in the period the release is recorded. The timing and amount of any reversal will depend on actual earnings achieved in 2025 and projected future income levels.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During the three and nine months ended September 30, 2025, the Company recognized a non-cash impairment charge of $825.0 million related to its PENN Interactive reporting unit (as discussed in </w:t>
      </w:r>
      <w:hyperlink w:anchor="i92f572135b0b478ca136af16d332df4a_79">
        <w:r>
          <w:rPr>
            <w:rStyle w:val="InternetLink"/>
            <w:rFonts w:ascii="Times New Roman;serif" w:hAnsi="Times New Roman;serif"/>
            <w:b w:val="false"/>
            <w:color w:val="0000FF"/>
            <w:sz w:val="20"/>
            <w:u w:val="single"/>
          </w:rPr>
          <w:t>Note 5, “Goodwill and Other Intangible Assets”</w:t>
        </w:r>
      </w:hyperlink>
      <w:r>
        <w:rPr>
          <w:rFonts w:ascii="Times New Roman;serif" w:hAnsi="Times New Roman;serif"/>
          <w:b w:val="false"/>
          <w:color w:val="000000"/>
          <w:sz w:val="20"/>
        </w:rPr>
        <w:t>). The impairment represents a non-deductible permanent item and had no impact on the Company’s effective tax rate, deferred taxes, or valuation allowance.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prepaid income taxes of $34.0 million and $31.9 million, respectively, which were included in “Prepaid expenses” within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 was enacted. Key business income tax provisions of the OBBB applicable to the Company include (i) reinstatement of immediate deduction for domestic research or experimental expenditures; (ii) extension of 100% accelerated tax bonus depreciation for qualifying depreciable assets; and (iii) restoration of the favorable EBITDA-based business interest expense limitation. The impacts of the OBBB are reflected in the Company’s results for the quarter and did not have a material impact on the Company’s effective tax rate for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9—Commitments and Contingencies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ESPN Sportsbook and Investment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8, 2023, PENN entered into the Sportsbook Agreement (the “Sportsbook Agreement”) with ESPN relating to online sports betting in the U.S. Pursuant to the Sportsbook Agreement, PENN received the exclusive right to use the ESPN BET trademark for online sports betting in the U.S.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Sportsbook Agreement had an initial 10-year term, with the right for either party to terminate the agreement after the third year if specific market share performance thresholds were not met. In consideration for the media marketing services and brand and other rights provided by ESPN, PENN agreed to pay $150.0 million per year in cash pursuant to the Sportsbook Agreement.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Sportsbook Agreement, PENN and ESPN also entered into an Investment Agreement (the “Investment Agreement”) on August 8, 2023. The Investment Agreement provided for the issuance to ESPN of certain warrants to purchase shares of PENN common stock, par value $0.01 per share, and set forth certain other governance rights of ESPN.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Investment Agreement, PENN issued ESPN warrants to purchase approximately 31.8 million shares of PENN common stock, subject to vesting (“Initial Warrants”). The warrants are classified as equity and contain three separate tranches.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quarter end, on November 5, 2025, PENN and ESPN entered into the Termination Agreement to terminate the Sportsbook Agreement, effective December 1, 2025 (the “Termination Date”). Pursuant to the Termination Agreement, PENN’s exclusive right to use the ESPN BET trademark for online sports betting in the U.S. will end on the Termination Date. The Termination Agreement provides that PENN will pay ESPN a total of $38.1 million in the fourth quarter of 2025 in respect of all remaining fees owed through the Termination Date. In addition, PENN has agreed to pay ESPN a total of $5.0 million following the Termination Date for traditional media to support theScore Bet and/or Hollywood iCasino offerings. The Termination Agreement provides that these payments will settle all outstanding payment obligations from PENN to ESPN under the Sportsbook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On November 5, 2025, in connection with the Termination Agreement, PENN and ESPN entered into Amendment No. 1 to the Investment Agreement (the “Investment Agreement Amendment”) to amend certain terms of the Investment Agreement. Pursuant to the Investment Agreement Amendment, effective November 5, 2025, the Initial Warrants were deemed vested through and including February 8, 2026, the unvested portion of each of the Initial Warrants held by ESPN was forfeited and cancelled for no consideration, and PENN will have no obligation to issue any Bonus Warrants (as defined within the Investment Agreement). As of November 5, 2025, ESPN holds (i) a warrant to purchase 3,177,610 shares of PENN common stock with an expiration date of February 8, 2033 and an exercise price of $26.08;</w:t>
      </w:r>
      <w:r>
        <w:rPr>
          <w:color w:val="000000"/>
        </w:rPr>
        <w:t xml:space="preserve"> </w:t>
      </w:r>
      <w:r>
        <w:rPr>
          <w:rFonts w:ascii="Times New Roman;serif" w:hAnsi="Times New Roman;serif"/>
          <w:b w:val="false"/>
          <w:color w:val="000000"/>
          <w:sz w:val="20"/>
        </w:rPr>
        <w:t>(ii) a warrant to purchase 3,200,930 shares of PENN common stock with an expiration date of February 8, 2034 and an exercise price of $29.99; and (iii) a warrant to purchase 1,578,670 shares of PENN common stock with an expiration date of February 8, 2035 and an exercise price of $32.60.</w:t>
      </w:r>
    </w:p>
    <w:p>
      <w:pPr>
        <w:pStyle w:val="TextBody"/>
        <w:bidi w:val="0"/>
        <w:spacing w:lineRule="auto" w:line="288" w:before="0" w:after="200"/>
        <w:ind w:left="0" w:right="0" w:firstLine="360"/>
        <w:jc w:val="left"/>
        <w:rPr/>
      </w:pPr>
      <w:r>
        <w:rPr>
          <w:rFonts w:ascii="Times New Roman;serif" w:hAnsi="Times New Roman;serif"/>
          <w:b w:val="false"/>
          <w:color w:val="000000"/>
          <w:sz w:val="20"/>
        </w:rPr>
        <w:t>During the three and nine months ended September 30, 2025, the Company recognized $37.5 million and $112.5 million of expense, respectively, related to the Sportsbook Agreement, and $14.5 million and $43.0 million, respectively, related to the Investment Agreement. For the three and nine months ended September 30, 2024, the Company recognized $41.7 million and $141.7 million of expense, respectively, related to the Sportsbook Agreement, and $15.9 million and $53.4 million, respectively, related to the Investment Agreement.</w:t>
      </w:r>
      <w:r>
        <w:rPr>
          <w:color w:val="000000"/>
          <w:shd w:fill="FFFFFF" w:val="clear"/>
        </w:rPr>
        <w:t xml:space="preserve"> </w:t>
      </w:r>
      <w:r>
        <w:rPr>
          <w:rFonts w:ascii="Times New Roman;serif" w:hAnsi="Times New Roman;serif"/>
          <w:b w:val="false"/>
          <w:color w:val="000000"/>
          <w:sz w:val="20"/>
          <w:shd w:fill="FFFFFF" w:val="clear"/>
        </w:rPr>
        <w:t xml:space="preserve">Expenses related to the Sportsbook Agreement and the Investment Agreement are recorded within “Gaming” expenses on the unaudited Consolidated Statements of Operations and recognized in accordance with our policies. See </w:t>
      </w:r>
      <w:hyperlink w:anchor="i92f572135b0b478ca136af16d332df4a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10—Stockholders’ Equity and Stock-Based Compensation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Score Media and Gaming, Inc. (“theScore”) in October 2021, the Company issued 12,319,340 shares of common stock with a par value of $0.01, and 697,539 exchangeable shares, par value $0.01 (“Exchangeable Shares”) through the capital of an indirect wholly-owned subsidiary of PENN, in addition to cash consideration. Each Exchangeable Share is exchangeable into one share of PENN common stock at the option of the holder, subject to certain adjustments. Upon the acquisition of theScore, certain employees of theScore elected to have their outstanding equity awards, which were assumed under theScore plan (as defined below), issued as Exchangeable Shares, once the shares vest or are exercised. In addition, the Company may redeem all outstanding Exchangeable Shares in exchange for shares of PENN common stock at any time following the fifth anniversary of the closing, or earlier under certain circumstances.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issue any Exchangeable Shares during the three months ended September 30, 2025 and 2024, or during the nine months ended September 30, 2025. During the nine months ended September 30, 2024, we issued 68,048 Exchangeable Shares. As of both periods ended September 30, 2025 and December 31, 2024, there were 768,441 Exchangeable Shares authorized, of which 379,941 shares and 466,534 shares were outstanding,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Share Repurchase Authorization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6, 2022, the Board of Directors approved a share repurchase authorization for $750.0 million (the “December 2022 Authorization”), which expires on December 31,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October 30, 2025, the Board of Directors approved a new $750.0 million share repurchase program (the “October 2025 Authorization”), subject to the finalization of and entry into the Termination Agreement and the Investment Agreement Amendment, as discussed in </w:t>
      </w:r>
      <w:hyperlink w:anchor="i92f572135b0b478ca136af16d332df4a_58">
        <w:r>
          <w:rPr>
            <w:rStyle w:val="InternetLink"/>
            <w:rFonts w:ascii="Times New Roman;serif" w:hAnsi="Times New Roman;serif"/>
            <w:b w:val="false"/>
            <w:color w:val="0000FF"/>
            <w:sz w:val="20"/>
            <w:u w:val="single"/>
          </w:rPr>
          <w:t>Note 9, “Commitments and Contingencies.”</w:t>
        </w:r>
      </w:hyperlink>
      <w:r>
        <w:rPr>
          <w:color w:val="000000"/>
        </w:rPr>
        <w:t xml:space="preserve"> </w:t>
      </w:r>
      <w:r>
        <w:rPr>
          <w:rFonts w:ascii="Times New Roman;serif" w:hAnsi="Times New Roman;serif"/>
          <w:b w:val="false"/>
          <w:color w:val="000000"/>
          <w:sz w:val="20"/>
        </w:rPr>
        <w:t>The October 2025 Authorization commences on January 1, 2026 and expires on December 31, 2028 and will take effect after the Company’s existing $750.0 million share repurchase program expires on December 31, 2025.</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Repurchases by the Company are subject to available liquidity, general market and economic 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respectively, the Company repurchased 7,965,282 and 15,214,631 shares of its common stock in open market transactions for $154.1 million and $269.4 million at an average price of $19.34 and $17.70 per share. No shares of the Company’s common stock were repurchased during the three and nine months ended September 30, 2024.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of all repurchased shares is recorded as “Treasury stock” within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the quarter ended September 30, 2025, the Company repurchased 4,876,200 shares of its common stock at an average price of $17.44 per share for an aggregate amount of $85.0 million. As of November 5, 2025, the remaining availability under our December 2022 Authorization was $395.4 million.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2022 Long Term Incentive Compensation Plan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7, 2022, the Company’s shareholders, upon the recommendation of the Company’s Board of Directors, approved the Company’s 2022 Long Term Incentive Compensation Plan (the “2022 Plan”). The 2022 Plan authorizes the Company to issue stock options (incentive and/or non-qualified), stock appreciation rights (“SARs”), restricted stock (shares and/or units), performance awards (shares and/or units), and cash awards to executive officers, non-employee directors, other employees, consultants, and advisors of the Company and its subsidiaries. Non-employee directors and consultants are eligible to receive all such awards, other than incentive stock options. Pursuant to the 2022 Plan, an initial 6,870,000 shares of the Company’s common stock were reserved for issuance, plus any shares of common stock subject to outstanding awards under both the previous 2018 Long Term Incentive Compensation Plan, as amended (“2018 Plan”) and Score Media and Gaming Inc. Second Amended and Restated Stock Option and Restricted Stock Unit Plan (the “theScore Plan”) as of June 7, 2022, and outstanding awards that are forfeited or settled for cash under each of the prior plans.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6, 2023, the Company’s shareholders, upon the recommendation of the Company’s Board of Directors, approved an amendment to the 2022 Plan (as amended, the “2022 Amended Plan”), which increased the number of shares reserved for issuance under the plan by 7,000,000 shares.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17, 2025, upon the recommendation of the Company’s Board of Directors, shareholders approved a second amendment to the 2022 Plan (as amended, the “2022 Plan – Second Amendment”). Among other changes, this amendment increased the total number of shares reserved for issuance to 22,067,275 shares. For purposes of determining the number of shares available for issuance under the 2022 Plan – Second Amendment, stock options, restricted stock, and all other equity settled awards count against the 22,067,275 share limit as one share of common stock for each share granted. Any awards that are not settled in shares of common stock are not counted against the share limit. As of September 30, 2025, there are 8,217,921 shares available for future grants under the 2022 Plan – Second Amendment.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Performance Share Program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performance share programs were adopted to provide our NEOs and certain other key executives with stock-based compensation tied directly to the Company’s performance, which further aligns their interests with our shareholders and provides compensation only if the designated performance goals are met for the applicable performance periods.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granted 1,254,323 and 1,317,269 restricted units with performance-based vesting conditions, at target, during the nine months ended September 30, 2025 and 2024, respectively. The restricted performance units were granted under the 2022 Amended Plan, and each grant consists of one three-year performance period over a three-year service period. The awards have the potential to be earned at between 0% and 200% of the number of shares granted depending on achievement of the performance goals and remain subject to vesting for the full three-year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pertains to our stock options and restricted stock, including restricted stock with performance conditions. The Company recognized stock-based compensation expense of $16.8 million and $12.9 million for the three months ended September 30, 2025 and 2024, respectively, and $48.5 million and $39.0 million for the nine months ended September 30, 2025 and 2024, respectively, which is included in “General and administrative” expense within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11—Loss per Share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recorded a net loss attributable to PENN for the three and nine months ended September 30, 2025 and 2024. As such, the dilution from potential common shares was anti-dilutive, and therefore, we used basic weighted-average common shares outstanding rather than diluted weighted-average common shares outstanding when calculating diluted loss per share. Stock options, restricted stock, and convertible debt that could potentially dilute basic EPS in the future, that were not included in the computation of diluted loss per share, are as follows:</w:t>
      </w:r>
    </w:p>
    <w:tbl>
      <w:tblPr>
        <w:tblW w:w="10205" w:type="dxa"/>
        <w:jc w:val="left"/>
        <w:tblInd w:w="0" w:type="dxa"/>
        <w:tblLayout w:type="fixed"/>
        <w:tblCellMar>
          <w:top w:w="28" w:type="dxa"/>
          <w:left w:w="28" w:type="dxa"/>
          <w:bottom w:w="28" w:type="dxa"/>
          <w:right w:w="28" w:type="dxa"/>
        </w:tblCellMar>
      </w:tblPr>
      <w:tblGrid>
        <w:gridCol w:w="1241"/>
        <w:gridCol w:w="1082"/>
        <w:gridCol w:w="1092"/>
        <w:gridCol w:w="383"/>
        <w:gridCol w:w="346"/>
        <w:gridCol w:w="346"/>
        <w:gridCol w:w="346"/>
        <w:gridCol w:w="346"/>
        <w:gridCol w:w="346"/>
        <w:gridCol w:w="401"/>
        <w:gridCol w:w="346"/>
        <w:gridCol w:w="368"/>
        <w:gridCol w:w="109"/>
        <w:gridCol w:w="109"/>
        <w:gridCol w:w="109"/>
        <w:gridCol w:w="381"/>
        <w:gridCol w:w="333"/>
        <w:gridCol w:w="329"/>
        <w:gridCol w:w="329"/>
        <w:gridCol w:w="329"/>
        <w:gridCol w:w="329"/>
        <w:gridCol w:w="381"/>
        <w:gridCol w:w="333"/>
        <w:gridCol w:w="491"/>
      </w:tblGrid>
      <w:tr>
        <w:trPr/>
        <w:tc>
          <w:tcPr>
            <w:tcW w:w="124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stock options</w:t>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restricted stock</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convertible debt</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recorded a net loss for the three and nine months ended September 30, 2025 and 2024, there are no reconciling items between the weighted-average common shares outstanding for basic and diluted EPS calculations.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stock with performance and market based vesting conditions that have not been met as of September 30, 2025 were excluded from the computation of diluted EPS.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Anti-dilutive equity-based awards are excluded from the computation of diluted EPS, and primarily consists of stock options awarded under the Company’s previous and current long-term incentive compensation plans and warrants previously issued under the terms of the Investment Agreement. Pursuant to the Investment Agreement Amendment, the Initial Warrants will be deemed vested through and including February 8, 2026, and the remaining unvested warrants will be forfeited and cancelled for no consideration. See </w:t>
      </w:r>
      <w:hyperlink w:anchor="i92f572135b0b478ca136af16d332df4a_58">
        <w:r>
          <w:rPr>
            <w:rStyle w:val="InternetLink"/>
            <w:rFonts w:ascii="Times New Roman;serif" w:hAnsi="Times New Roman;serif"/>
            <w:b w:val="false"/>
            <w:color w:val="0000FF"/>
            <w:sz w:val="20"/>
            <w:u w:val="single"/>
          </w:rPr>
          <w:t>Note 9, “Commitments and Contingencies.”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Anti-dilutive options and warrants to purchase 37.0 million shares were outstanding for both the three and nine months ended September 30, 2025, and 35.3 million and 35.1 million for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Company’s calculation of weighted-average common shares outstanding includes the Exchangeable Shares issued in connection with theScore acquisition, as discussed in </w:t>
      </w:r>
      <w:hyperlink w:anchor="i92f572135b0b478ca136af16d332df4a_61">
        <w:r>
          <w:rPr>
            <w:rStyle w:val="InternetLink"/>
            <w:rFonts w:ascii="Times New Roman;serif" w:hAnsi="Times New Roman;serif"/>
            <w:b w:val="false"/>
            <w:color w:val="0000FF"/>
            <w:sz w:val="20"/>
            <w:u w:val="single"/>
          </w:rPr>
          <w:t>Note 10, “Stockholders’ Equity and Stock-Based Compensation.”</w:t>
        </w:r>
      </w:hyperlink>
      <w:r>
        <w:rPr>
          <w:color w:val="000000"/>
        </w:rPr>
        <w:t xml:space="preserve"> </w:t>
      </w:r>
      <w:r>
        <w:rPr>
          <w:rFonts w:ascii="Times New Roman;serif" w:hAnsi="Times New Roman;serif"/>
          <w:b w:val="false"/>
          <w:color w:val="000000"/>
          <w:sz w:val="20"/>
        </w:rPr>
        <w:t>The following table presents the calculation of basic and diluted loss per share for the Company’s common stock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626"/>
        <w:gridCol w:w="1110"/>
        <w:gridCol w:w="1112"/>
        <w:gridCol w:w="285"/>
        <w:gridCol w:w="911"/>
        <w:gridCol w:w="147"/>
        <w:gridCol w:w="147"/>
        <w:gridCol w:w="147"/>
        <w:gridCol w:w="147"/>
        <w:gridCol w:w="285"/>
        <w:gridCol w:w="769"/>
        <w:gridCol w:w="147"/>
        <w:gridCol w:w="109"/>
        <w:gridCol w:w="109"/>
        <w:gridCol w:w="109"/>
        <w:gridCol w:w="272"/>
        <w:gridCol w:w="866"/>
        <w:gridCol w:w="140"/>
        <w:gridCol w:w="140"/>
        <w:gridCol w:w="140"/>
        <w:gridCol w:w="140"/>
        <w:gridCol w:w="272"/>
        <w:gridCol w:w="866"/>
        <w:gridCol w:w="209"/>
      </w:tblGrid>
      <w:tr>
        <w:trPr/>
        <w:tc>
          <w:tcPr>
            <w:tcW w:w="162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Calculation of basic loss per share:</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applicable to common stock</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PENN Entertainment, Inc.</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Exchangeable Shares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Calculation of diluted loss per share:</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applicable to common stock</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12—Fair Value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1: Observable inputs such as quoted prices in active markets for identical assets or liabilities.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Level 3: Unobservable inputs that reflect the reporting entity’s own assumptions, as there is little, if any, related market activity.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 approximates the carrying amounts.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fair value of o</w:t>
      </w:r>
      <w:r>
        <w:rPr>
          <w:rFonts w:ascii="Times New Roman;serif" w:hAnsi="Times New Roman;serif"/>
          <w:b w:val="false"/>
          <w:color w:val="000000"/>
          <w:sz w:val="20"/>
          <w:shd w:fill="FFFFFF" w:val="clear"/>
        </w:rPr>
        <w:t>ur Amended Credit Facilities,</w:t>
      </w:r>
      <w:r>
        <w:rPr>
          <w:color w:val="000000"/>
        </w:rPr>
        <w:t xml:space="preserve"> </w:t>
      </w:r>
      <w:r>
        <w:rPr>
          <w:rFonts w:ascii="Times New Roman;serif" w:hAnsi="Times New Roman;serif"/>
          <w:b w:val="false"/>
          <w:color w:val="000000"/>
          <w:sz w:val="20"/>
        </w:rPr>
        <w:t>5.625% Notes, 4.125% Notes, and the Convertible Notes is estimated based on quoted prices in active markets. Due to their trading frequency, these long-term debt instruments are classified as Level 2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long-term obligations as of September 30, 2025 and December 31, 2024 included the repayment obligation of the hotel and event center located near Hollywood Casino Lawrenceburg. The fair value of the Lawrenceburg repayment obligation is estimated based on rates consistent with the Company’s credit rating for comparable terms and debt instruments and is classified as a Level 2 measurement.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discussed in </w:t>
      </w:r>
      <w:hyperlink w:anchor="i92f572135b0b478ca136af16d332df4a_49">
        <w:r>
          <w:rPr>
            <w:rStyle w:val="InternetLink"/>
            <w:rFonts w:ascii="Times New Roman;serif" w:hAnsi="Times New Roman;serif"/>
            <w:b w:val="false"/>
            <w:color w:val="0000FF"/>
            <w:sz w:val="20"/>
            <w:u w:val="single"/>
          </w:rPr>
          <w:t>Note 6, “Long-Term Debt,”</w:t>
        </w:r>
      </w:hyperlink>
      <w:r>
        <w:rPr>
          <w:color w:val="000000"/>
        </w:rPr>
        <w:t xml:space="preserve"> </w:t>
      </w:r>
      <w:r>
        <w:rPr>
          <w:rFonts w:ascii="Times New Roman;serif" w:hAnsi="Times New Roman;serif"/>
          <w:b w:val="false"/>
          <w:color w:val="000000"/>
          <w:sz w:val="20"/>
        </w:rPr>
        <w:t>other long-term obligations as of December 31, 2024 included a third-party financing arrangement entered into in February 2021. This financing arrangement provided the Company with upfront and non-refundable cash proceeds while permitting us to participate in future proceeds on certain claims. The financing obligation was classified as a Level 3 measurement and as of December 31, 2024 was included within the Consolidated Balance Sheets in “Long-term debt, net of current maturities, debt discounts, and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Liabilities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both periods ended September 30, 2025 and December 31, 2024, other liabilities include a $39.5 million tax indemnification, as described in </w:t>
      </w:r>
      <w:hyperlink w:anchor="i92f572135b0b478ca136af16d332df4a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Liabilities associated with the indemnification are recorded in “Other long-term liabilities” within the unaudited Consolidated Balance Sheets. The indemnity has been classified as a Level 3 measurement. Key assumptions used to estimate the fair value of the indemnification include the expected tax rate and the probability of potential outcomes based on valuation methods that utilize unobservable inputs that are significant to the overall fair value as of September 30, 2025 and December 31, 2024.</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were as follows:</w:t>
      </w:r>
    </w:p>
    <w:p>
      <w:pPr>
        <w:pStyle w:val="TextBody"/>
        <w:bidi w:val="0"/>
        <w:spacing w:before="0" w:after="0"/>
        <w:ind w:left="0" w:right="0" w:firstLine="360"/>
        <w:jc w:val="left"/>
        <w:rPr/>
      </w:pPr>
      <w:r>
        <w:rPr/>
      </w:r>
    </w:p>
    <w:tbl>
      <w:tblPr>
        <w:tblW w:w="9701" w:type="dxa"/>
        <w:jc w:val="left"/>
        <w:tblInd w:w="0" w:type="dxa"/>
        <w:tblLayout w:type="fixed"/>
        <w:tblCellMar>
          <w:top w:w="28" w:type="dxa"/>
          <w:left w:w="28" w:type="dxa"/>
          <w:bottom w:w="28" w:type="dxa"/>
          <w:right w:w="28" w:type="dxa"/>
        </w:tblCellMar>
      </w:tblPr>
      <w:tblGrid>
        <w:gridCol w:w="1012"/>
        <w:gridCol w:w="888"/>
        <w:gridCol w:w="890"/>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511"/>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Financial assets:</w:t>
            </w:r>
            <w:r>
              <w:rPr>
                <w:rFonts w:ascii="Times New Roman;serif" w:hAnsi="Times New Roman;serif"/>
                <w:b/>
                <w:color w:val="000000"/>
                <w:sz w:val="13"/>
              </w:rPr>
              <w:t>(1)</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06"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212529"/>
          <w:sz w:val="16"/>
          <w:shd w:fill="FFFFFF" w:val="clear"/>
        </w:rPr>
        <w:t xml:space="preserve">(1)During the nine months ended </w:t>
      </w:r>
      <w:r>
        <w:rPr>
          <w:rFonts w:ascii="Times New Roman;serif" w:hAnsi="Times New Roman;serif"/>
          <w:b w:val="false"/>
          <w:color w:val="000000"/>
          <w:sz w:val="16"/>
        </w:rPr>
        <w:t>September 30, 2025,</w:t>
      </w:r>
      <w:r>
        <w:rPr>
          <w:color w:val="212529"/>
          <w:shd w:fill="FFFFFF" w:val="clear"/>
        </w:rPr>
        <w:t xml:space="preserve"> </w:t>
      </w:r>
      <w:r>
        <w:rPr>
          <w:rFonts w:ascii="Times New Roman;serif" w:hAnsi="Times New Roman;serif"/>
          <w:b w:val="false"/>
          <w:color w:val="212529"/>
          <w:sz w:val="16"/>
          <w:shd w:fill="FFFFFF" w:val="clear"/>
        </w:rPr>
        <w:t xml:space="preserve">the Company sold its equity securities for </w:t>
      </w:r>
      <w:r>
        <w:rPr>
          <w:rFonts w:ascii="Times New Roman;serif" w:hAnsi="Times New Roman;serif"/>
          <w:b w:val="false"/>
          <w:color w:val="000000"/>
          <w:sz w:val="16"/>
        </w:rPr>
        <w:t>$12.0 million and recognized a gain of $0.6 million</w:t>
      </w:r>
      <w:r>
        <w:rPr>
          <w:rFonts w:ascii="Times New Roman;serif" w:hAnsi="Times New Roman;serif"/>
          <w:b w:val="false"/>
          <w:color w:val="212529"/>
          <w:sz w:val="16"/>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fair value of our Level 3 assets and liabilities measured on a recurring basis:</w:t>
      </w:r>
    </w:p>
    <w:tbl>
      <w:tblPr>
        <w:tblW w:w="8039" w:type="dxa"/>
        <w:jc w:val="left"/>
        <w:tblInd w:w="0" w:type="dxa"/>
        <w:tblLayout w:type="fixed"/>
        <w:tblCellMar>
          <w:top w:w="28" w:type="dxa"/>
          <w:left w:w="28" w:type="dxa"/>
          <w:bottom w:w="28" w:type="dxa"/>
          <w:right w:w="28" w:type="dxa"/>
        </w:tblCellMar>
      </w:tblPr>
      <w:tblGrid>
        <w:gridCol w:w="2017"/>
        <w:gridCol w:w="1771"/>
        <w:gridCol w:w="1776"/>
        <w:gridCol w:w="531"/>
        <w:gridCol w:w="1554"/>
        <w:gridCol w:w="390"/>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Assets and Liabilities</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w:t>
            </w:r>
            <w:r>
              <w:rPr>
                <w:color w:val="000000"/>
              </w:rPr>
              <w:t xml:space="preserve"> </w:t>
            </w:r>
            <w:r>
              <w:rPr>
                <w:rFonts w:ascii="Times New Roman;serif" w:hAnsi="Times New Roman;serif"/>
                <w:b w:val="false"/>
                <w:color w:val="000000"/>
                <w:sz w:val="13"/>
              </w:rPr>
              <w:t>(1)</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installments</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Included in “Net loss” and “Other comprehensive income (loss)”</w:t>
            </w:r>
            <w:r>
              <w:rPr>
                <w:color w:val="000000"/>
              </w:rPr>
              <w:t xml:space="preserve"> </w:t>
            </w:r>
            <w:r>
              <w:rPr>
                <w:rFonts w:ascii="Times New Roman;serif" w:hAnsi="Times New Roman;serif"/>
                <w:b w:val="false"/>
                <w:color w:val="000000"/>
                <w:sz w:val="13"/>
              </w:rPr>
              <w:t>(1)</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212529"/>
          <w:sz w:val="16"/>
          <w:shd w:fill="FFFFFF" w:val="clear"/>
        </w:rPr>
        <w:t xml:space="preserve">(1)Primarily relates to the interest expense and </w:t>
      </w:r>
      <w:r>
        <w:rPr>
          <w:rFonts w:ascii="Times New Roman;serif" w:hAnsi="Times New Roman;serif"/>
          <w:b w:val="false"/>
          <w:color w:val="000000"/>
          <w:sz w:val="16"/>
          <w:shd w:fill="FFFFFF" w:val="clear"/>
        </w:rPr>
        <w:t xml:space="preserve">non-cash gain on financing arrangement. See </w:t>
      </w:r>
      <w:hyperlink w:anchor="i92f572135b0b478ca136af16d332df4a_49">
        <w:r>
          <w:rPr>
            <w:rStyle w:val="InternetLink"/>
            <w:rFonts w:ascii="Times New Roman;serif" w:hAnsi="Times New Roman;serif"/>
            <w:b w:val="false"/>
            <w:color w:val="0000FF"/>
            <w:sz w:val="16"/>
            <w:u w:val="single"/>
          </w:rPr>
          <w:t>Note 6, “Long-Term Debt.”</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used in calculating fair value for our Level 3 assets and liabilities on a recurring basis as of September 30, 2025:</w:t>
      </w:r>
    </w:p>
    <w:tbl>
      <w:tblPr>
        <w:tblW w:w="8407" w:type="dxa"/>
        <w:jc w:val="left"/>
        <w:tblInd w:w="0" w:type="dxa"/>
        <w:tblLayout w:type="fixed"/>
        <w:tblCellMar>
          <w:top w:w="28" w:type="dxa"/>
          <w:left w:w="28" w:type="dxa"/>
          <w:bottom w:w="28" w:type="dxa"/>
          <w:right w:w="28" w:type="dxa"/>
        </w:tblCellMar>
      </w:tblPr>
      <w:tblGrid>
        <w:gridCol w:w="1011"/>
        <w:gridCol w:w="889"/>
        <w:gridCol w:w="890"/>
        <w:gridCol w:w="624"/>
        <w:gridCol w:w="624"/>
        <w:gridCol w:w="626"/>
        <w:gridCol w:w="109"/>
        <w:gridCol w:w="109"/>
        <w:gridCol w:w="109"/>
        <w:gridCol w:w="589"/>
        <w:gridCol w:w="589"/>
        <w:gridCol w:w="591"/>
        <w:gridCol w:w="109"/>
        <w:gridCol w:w="109"/>
        <w:gridCol w:w="109"/>
        <w:gridCol w:w="268"/>
        <w:gridCol w:w="268"/>
        <w:gridCol w:w="784"/>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assets measured at fair value on a non-recurring basis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359"/>
        <w:gridCol w:w="315"/>
        <w:gridCol w:w="317"/>
        <w:gridCol w:w="339"/>
        <w:gridCol w:w="339"/>
        <w:gridCol w:w="341"/>
        <w:gridCol w:w="109"/>
        <w:gridCol w:w="109"/>
        <w:gridCol w:w="109"/>
        <w:gridCol w:w="516"/>
        <w:gridCol w:w="479"/>
        <w:gridCol w:w="480"/>
        <w:gridCol w:w="109"/>
        <w:gridCol w:w="109"/>
        <w:gridCol w:w="109"/>
        <w:gridCol w:w="213"/>
        <w:gridCol w:w="411"/>
        <w:gridCol w:w="112"/>
        <w:gridCol w:w="109"/>
        <w:gridCol w:w="109"/>
        <w:gridCol w:w="109"/>
        <w:gridCol w:w="213"/>
        <w:gridCol w:w="411"/>
        <w:gridCol w:w="112"/>
        <w:gridCol w:w="109"/>
        <w:gridCol w:w="109"/>
        <w:gridCol w:w="109"/>
        <w:gridCol w:w="211"/>
        <w:gridCol w:w="616"/>
        <w:gridCol w:w="109"/>
        <w:gridCol w:w="109"/>
        <w:gridCol w:w="109"/>
        <w:gridCol w:w="109"/>
        <w:gridCol w:w="225"/>
        <w:gridCol w:w="658"/>
        <w:gridCol w:w="116"/>
        <w:gridCol w:w="109"/>
        <w:gridCol w:w="109"/>
        <w:gridCol w:w="109"/>
        <w:gridCol w:w="289"/>
        <w:gridCol w:w="844"/>
        <w:gridCol w:w="21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Reduction in Fair Value</w:t>
              <w:br/>
              <w:t>Recorded</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Trademark</w:t>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Discounted cash flow and market approach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825.0 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As discussed in </w:t>
      </w:r>
      <w:hyperlink w:anchor="i92f572135b0b478ca136af16d332df4a_79">
        <w:r>
          <w:rPr>
            <w:rStyle w:val="InternetLink"/>
            <w:rFonts w:ascii="Times New Roman;serif" w:hAnsi="Times New Roman;serif"/>
            <w:b w:val="false"/>
            <w:color w:val="000080"/>
            <w:sz w:val="20"/>
            <w:u w:val="single"/>
          </w:rPr>
          <w:t>Note 5, “Goodwill and Other Intangible Assets</w:t>
        </w:r>
      </w:hyperlink>
      <w:hyperlink w:anchor="i92f572135b0b478ca136af16d332df4a_79">
        <w:r>
          <w:rPr>
            <w:rStyle w:val="InternetLink"/>
            <w:rFonts w:ascii="Times New Roman;serif" w:hAnsi="Times New Roman;serif"/>
            <w:b w:val="false"/>
            <w:color w:val="000080"/>
            <w:sz w:val="20"/>
            <w:u w:val="single"/>
          </w:rPr>
          <w:t>,</w:t>
        </w:r>
      </w:hyperlink>
      <w:hyperlink w:anchor="i92f572135b0b478ca136af16d332df4a_79">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we recorded an impairment on our ACB trademark at the ACB reporting unit as a result of our strategic decision to rebrand the anticipated new facility as Hollywood Casino Council Bluffs. The following table presents quantitative information about the significant unobservable inputs used in the fair value measurement of the trademark as of the valuation date below:</w:t>
      </w:r>
    </w:p>
    <w:tbl>
      <w:tblPr>
        <w:tblW w:w="9092" w:type="dxa"/>
        <w:jc w:val="left"/>
        <w:tblInd w:w="0" w:type="dxa"/>
        <w:tblLayout w:type="fixed"/>
        <w:tblCellMar>
          <w:top w:w="28" w:type="dxa"/>
          <w:left w:w="28" w:type="dxa"/>
          <w:bottom w:w="28" w:type="dxa"/>
          <w:right w:w="28" w:type="dxa"/>
        </w:tblCellMar>
      </w:tblPr>
      <w:tblGrid>
        <w:gridCol w:w="652"/>
        <w:gridCol w:w="573"/>
        <w:gridCol w:w="575"/>
        <w:gridCol w:w="296"/>
        <w:gridCol w:w="570"/>
        <w:gridCol w:w="153"/>
        <w:gridCol w:w="109"/>
        <w:gridCol w:w="109"/>
        <w:gridCol w:w="109"/>
        <w:gridCol w:w="624"/>
        <w:gridCol w:w="624"/>
        <w:gridCol w:w="626"/>
        <w:gridCol w:w="109"/>
        <w:gridCol w:w="109"/>
        <w:gridCol w:w="109"/>
        <w:gridCol w:w="589"/>
        <w:gridCol w:w="589"/>
        <w:gridCol w:w="591"/>
        <w:gridCol w:w="109"/>
        <w:gridCol w:w="109"/>
        <w:gridCol w:w="109"/>
        <w:gridCol w:w="335"/>
        <w:gridCol w:w="335"/>
        <w:gridCol w:w="979"/>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Range or Amount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April 30, 2025</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Pre-tax royalty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13—Segment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VGT operations, by state, to be separate operating segments.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retail segments primarily generate revenue from gaming operations (such as slot machines and table games), food and beverage offerings, and hotel visitation. The accounting policies of our retail segments are the same as those described in our significant accounting policies. See </w:t>
      </w:r>
      <w:hyperlink w:anchor="i92f572135b0b478ca136af16d332df4a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 includes all of our online gaming operations, management of retail sports betting, and media operations. The accounting policies of our Interactive segment are the same as those described in our significant accounting policies. See </w:t>
      </w:r>
      <w:hyperlink w:anchor="i92f572135b0b478ca136af16d332df4a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The Other category, </w:t>
      </w:r>
      <w:r>
        <w:rPr>
          <w:rFonts w:ascii="Times New Roman;serif" w:hAnsi="Times New Roman;serif"/>
          <w:b w:val="false"/>
          <w:color w:val="000000"/>
          <w:sz w:val="20"/>
        </w:rPr>
        <w:t>included in the tables to reconcile the segment information to the consolidated information,</w:t>
      </w:r>
      <w:r>
        <w:rPr>
          <w:color w:val="000000"/>
          <w:shd w:fill="FFFFFF" w:val="clear"/>
        </w:rPr>
        <w:t xml:space="preserve"> </w:t>
      </w:r>
      <w:r>
        <w:rPr>
          <w:rFonts w:ascii="Times New Roman;serif" w:hAnsi="Times New Roman;serif"/>
          <w:b w:val="false"/>
          <w:color w:val="000000"/>
          <w:sz w:val="20"/>
          <w:shd w:fill="FFFFFF" w:val="clear"/>
        </w:rPr>
        <w:t xml:space="preserve">consists of our stand-alone racing operations, namely Sanford-Orlando Kennel Club, Sam Houston and Valley Race Park, the Company’s </w:t>
      </w:r>
      <w:r>
        <w:rPr>
          <w:rFonts w:ascii="Times New Roman;serif" w:hAnsi="Times New Roman;serif"/>
          <w:b w:val="false"/>
          <w:color w:val="000000"/>
          <w:sz w:val="20"/>
        </w:rPr>
        <w:t xml:space="preserve">joint venture interests in Freehold Raceway (which ceased operations on December 28, 2024), </w:t>
      </w:r>
      <w:r>
        <w:rPr>
          <w:rFonts w:ascii="Times New Roman;serif" w:hAnsi="Times New Roman;serif"/>
          <w:b w:val="false"/>
          <w:color w:val="000000"/>
          <w:sz w:val="20"/>
          <w:shd w:fill="FFFFFF" w:val="clear"/>
        </w:rPr>
        <w:t>and our management contract for Retama Park Racetrack. The Other category also includes corporate overhead expenses, which consist of certain expenses, such as: payroll, professional fees, travel expenses, and other general and administrative expenses that have not otherwise been allocated.</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chief operating decision maker (“CODM”) is the Chief Executive Officer and President. Segment Adjusted EBITDAR (as defined below) is our measure of segment profit or loss for each segment and is utilized by the CODM as follows: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 xml:space="preserve">within the annual budget and forecasting process when making decisions about the allocation of operating and capital resources to each segment;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evaluate monthly budget-to-actual variances which are used in assessing segment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determine whether to reinvest profits into the segment or into other parts of the Company, such as new development projects, return generating investments in our retail operations and Interactive segment;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shd w:fill="FFFFFF" w:val="clear"/>
        </w:rPr>
        <w:t>to determine various capital allocation initiatives such as mergers and acquisitions, share repurchases, and delevering.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our revenues, expenses, and Segment Adjusted EBITDAR and provide a reconciliation to net loss.</w:t>
      </w:r>
    </w:p>
    <w:tbl>
      <w:tblPr>
        <w:tblW w:w="11258" w:type="dxa"/>
        <w:jc w:val="left"/>
        <w:tblInd w:w="0" w:type="dxa"/>
        <w:tblLayout w:type="fixed"/>
        <w:tblCellMar>
          <w:top w:w="28" w:type="dxa"/>
          <w:left w:w="28" w:type="dxa"/>
          <w:bottom w:w="28" w:type="dxa"/>
          <w:right w:w="28" w:type="dxa"/>
        </w:tblCellMar>
      </w:tblPr>
      <w:tblGrid>
        <w:gridCol w:w="500"/>
        <w:gridCol w:w="439"/>
        <w:gridCol w:w="3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320"/>
        <w:gridCol w:w="639"/>
        <w:gridCol w:w="167"/>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76" w:type="dxa"/>
        <w:jc w:val="left"/>
        <w:tblInd w:w="0" w:type="dxa"/>
        <w:tblLayout w:type="fixed"/>
        <w:tblCellMar>
          <w:top w:w="28" w:type="dxa"/>
          <w:left w:w="28" w:type="dxa"/>
          <w:bottom w:w="28" w:type="dxa"/>
          <w:right w:w="28" w:type="dxa"/>
        </w:tblCellMar>
      </w:tblPr>
      <w:tblGrid>
        <w:gridCol w:w="1887"/>
        <w:gridCol w:w="1661"/>
        <w:gridCol w:w="1672"/>
        <w:gridCol w:w="211"/>
        <w:gridCol w:w="69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disposal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 </w:t>
            </w:r>
            <w:r>
              <w:rPr>
                <w:rFonts w:ascii="Times New Roman;serif" w:hAnsi="Times New Roman;serif"/>
                <w:b w:val="false"/>
                <w:color w:val="000000"/>
                <w:sz w:val="13"/>
              </w:rPr>
              <w:t>(8)</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(9)</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REIT transaction,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online sports betting and/or iCasino partners for online sports betting and iCasino market access of </w:t>
      </w:r>
      <w:r>
        <w:rPr>
          <w:rFonts w:ascii="Times New Roman;serif" w:hAnsi="Times New Roman;serif"/>
          <w:b w:val="false"/>
          <w:color w:val="000000"/>
          <w:sz w:val="16"/>
          <w:shd w:fill="FFFFFF" w:val="clear"/>
        </w:rPr>
        <w:t>$139.5 million</w:t>
      </w:r>
      <w:r>
        <w:rPr>
          <w:color w:val="000000"/>
        </w:rPr>
        <w:t xml:space="preserve"> </w:t>
      </w:r>
      <w:r>
        <w:rPr>
          <w:rFonts w:ascii="Times New Roman;serif" w:hAnsi="Times New Roman;serif"/>
          <w:b w:val="false"/>
          <w:color w:val="000000"/>
          <w:sz w:val="16"/>
        </w:rPr>
        <w:t>for the three months ended September 30,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 xml:space="preserve">Includes advertising expenses of </w:t>
      </w:r>
      <w:r>
        <w:rPr>
          <w:rFonts w:ascii="Times New Roman;serif" w:hAnsi="Times New Roman;serif"/>
          <w:b w:val="false"/>
          <w:color w:val="000000"/>
          <w:sz w:val="16"/>
          <w:shd w:fill="FFFFFF" w:val="clear"/>
        </w:rPr>
        <w:t>$37.5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$14.5 million</w:t>
      </w:r>
      <w:r>
        <w:rPr>
          <w:color w:val="000000"/>
        </w:rPr>
        <w:t xml:space="preserve"> </w:t>
      </w:r>
      <w:r>
        <w:rPr>
          <w:rFonts w:ascii="Times New Roman;serif" w:hAnsi="Times New Roman;serif"/>
          <w:b w:val="false"/>
          <w:color w:val="000000"/>
          <w:sz w:val="16"/>
        </w:rPr>
        <w:t>related to the Investment Agreement with ESPN. Also, includes advertising and media expenses (including such expenses associated with theScore) across various platforms, including television, radio, out-of-home, social media, and both paid and organic search, and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(6)</w:t>
      </w:r>
      <w:r>
        <w:rPr>
          <w:rFonts w:ascii="Times New Roman;serif" w:hAnsi="Times New Roman;serif"/>
          <w:b w:val="false"/>
          <w:color w:val="000000"/>
          <w:sz w:val="16"/>
        </w:rPr>
        <w:t xml:space="preserve">Primarily represents corporate overhead expenses of </w:t>
      </w:r>
      <w:r>
        <w:rPr>
          <w:rFonts w:ascii="Times New Roman;serif" w:hAnsi="Times New Roman;serif"/>
          <w:b w:val="false"/>
          <w:color w:val="000000"/>
          <w:sz w:val="16"/>
          <w:shd w:fill="FFFFFF" w:val="clear"/>
        </w:rPr>
        <w:t>$34.0 million</w:t>
      </w:r>
      <w:r>
        <w:rPr>
          <w:color w:val="000000"/>
        </w:rPr>
        <w:t xml:space="preserve"> </w:t>
      </w:r>
      <w:r>
        <w:rPr>
          <w:rFonts w:ascii="Times New Roman;serif" w:hAnsi="Times New Roman;serif"/>
          <w:b w:val="false"/>
          <w:color w:val="000000"/>
          <w:sz w:val="16"/>
        </w:rPr>
        <w:t>for the three months ended September 30, 2025, which is inclusive of $3.9 million of legal an</w:t>
      </w:r>
      <w:r>
        <w:rPr>
          <w:rFonts w:ascii="Times New Roman;serif" w:hAnsi="Times New Roman;serif"/>
          <w:b w:val="false"/>
          <w:color w:val="000000"/>
          <w:sz w:val="16"/>
          <w:shd w:fill="FFFFFF" w:val="clear"/>
        </w:rPr>
        <w:t>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and (iv) Greektown Lease.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(8)Includes an impairment charge of $825.0 million in the Interactive segment. See </w:t>
      </w:r>
      <w:hyperlink w:anchor="i92f572135b0b478ca136af16d332df4a_79">
        <w:r>
          <w:rPr>
            <w:rStyle w:val="InternetLink"/>
            <w:rFonts w:ascii="Times New Roman;serif" w:hAnsi="Times New Roman;serif"/>
            <w:b w:val="false"/>
            <w:color w:val="0000FF"/>
            <w:sz w:val="16"/>
            <w:u w:val="single"/>
          </w:rPr>
          <w:t>Note 5, “Goodwill and Other Intangible Assets.”</w:t>
        </w:r>
      </w:hyperlink>
    </w:p>
    <w:p>
      <w:pPr>
        <w:pStyle w:val="TextBody"/>
        <w:bidi w:val="0"/>
        <w:spacing w:lineRule="auto" w:line="288" w:before="0" w:after="200"/>
        <w:ind w:left="0" w:right="0" w:hanging="360"/>
        <w:jc w:val="left"/>
        <w:rPr/>
      </w:pPr>
      <w:r>
        <w:rPr>
          <w:rFonts w:ascii="Times New Roman;serif" w:hAnsi="Times New Roman;serif"/>
          <w:b w:val="false"/>
          <w:color w:val="212529"/>
          <w:sz w:val="16"/>
        </w:rPr>
        <w:t>(9)</w:t>
      </w:r>
      <w:r>
        <w:rPr>
          <w:rFonts w:ascii="Times New Roman;serif" w:hAnsi="Times New Roman;serif"/>
          <w:b w:val="false"/>
          <w:color w:val="000000"/>
          <w:sz w:val="16"/>
        </w:rPr>
        <w:t>Consists primarily of depreciation expense associated with our Kansas Entertainment joint venture.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tbl>
      <w:tblPr>
        <w:tblW w:w="11258" w:type="dxa"/>
        <w:jc w:val="left"/>
        <w:tblInd w:w="0" w:type="dxa"/>
        <w:tblLayout w:type="fixed"/>
        <w:tblCellMar>
          <w:top w:w="28" w:type="dxa"/>
          <w:left w:w="28" w:type="dxa"/>
          <w:bottom w:w="28" w:type="dxa"/>
          <w:right w:w="28" w:type="dxa"/>
        </w:tblCellMar>
      </w:tblPr>
      <w:tblGrid>
        <w:gridCol w:w="500"/>
        <w:gridCol w:w="439"/>
        <w:gridCol w:w="3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320"/>
        <w:gridCol w:w="639"/>
        <w:gridCol w:w="167"/>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 2024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1" w:type="dxa"/>
        <w:jc w:val="left"/>
        <w:tblInd w:w="0" w:type="dxa"/>
        <w:tblLayout w:type="fixed"/>
        <w:tblCellMar>
          <w:top w:w="28" w:type="dxa"/>
          <w:left w:w="28" w:type="dxa"/>
          <w:bottom w:w="28" w:type="dxa"/>
          <w:right w:w="28" w:type="dxa"/>
        </w:tblCellMar>
      </w:tblPr>
      <w:tblGrid>
        <w:gridCol w:w="1887"/>
        <w:gridCol w:w="1661"/>
        <w:gridCol w:w="1672"/>
        <w:gridCol w:w="211"/>
        <w:gridCol w:w="58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(8)</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online sports betting and/or iCasino partners for online sports betting and iCasino market access of </w:t>
      </w:r>
      <w:r>
        <w:rPr>
          <w:rFonts w:ascii="Times New Roman;serif" w:hAnsi="Times New Roman;serif"/>
          <w:b w:val="false"/>
          <w:color w:val="000000"/>
          <w:sz w:val="16"/>
          <w:shd w:fill="FFFFFF" w:val="clear"/>
        </w:rPr>
        <w:t>$104.1 million</w:t>
      </w:r>
      <w:r>
        <w:rPr>
          <w:color w:val="000000"/>
        </w:rPr>
        <w:t xml:space="preserve"> </w:t>
      </w:r>
      <w:r>
        <w:rPr>
          <w:rFonts w:ascii="Times New Roman;serif" w:hAnsi="Times New Roman;serif"/>
          <w:b w:val="false"/>
          <w:color w:val="000000"/>
          <w:sz w:val="16"/>
        </w:rPr>
        <w:t>for the three months ended September 30, 2024.</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$41.7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$15.9 million</w:t>
      </w:r>
      <w:r>
        <w:rPr>
          <w:color w:val="000000"/>
        </w:rPr>
        <w:t xml:space="preserve"> </w:t>
      </w:r>
      <w:r>
        <w:rPr>
          <w:rFonts w:ascii="Times New Roman;serif" w:hAnsi="Times New Roman;serif"/>
          <w:b w:val="false"/>
          <w:color w:val="000000"/>
          <w:sz w:val="16"/>
        </w:rPr>
        <w:t>related to the Investment Agreement with ESPN. While the Sportsbook Agreement and Investment Agreement commenced on August 8, 2023, the Company began recognizing advertising expense, specific to the initial annual period, during the fourth quarter of 2023. Also, includes advertising and media expenses (including such expenses associated with theScore) across various platforms, including television, radio, out-of-home, social media, and both paid and organic search, and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from unconsolidated affiliates, with our share of non-operating items (see footnote (8)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(6)Primarily represents corporate overhead expenses of </w:t>
      </w:r>
      <w:r>
        <w:rPr>
          <w:rFonts w:ascii="Times New Roman;serif" w:hAnsi="Times New Roman;serif"/>
          <w:b w:val="false"/>
          <w:color w:val="000000"/>
          <w:sz w:val="16"/>
          <w:shd w:fill="FFFFFF" w:val="clear"/>
        </w:rPr>
        <w:t>$29.1 million</w:t>
      </w:r>
      <w:r>
        <w:rPr>
          <w:color w:val="000000"/>
        </w:rPr>
        <w:t xml:space="preserve"> </w:t>
      </w:r>
      <w:r>
        <w:rPr>
          <w:rFonts w:ascii="Times New Roman;serif" w:hAnsi="Times New Roman;serif"/>
          <w:b w:val="false"/>
          <w:color w:val="000000"/>
          <w:sz w:val="16"/>
        </w:rPr>
        <w:t>for the three months ended September 30, 2024.</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and (iv) Greektown Lease.</w:t>
      </w:r>
    </w:p>
    <w:p>
      <w:pPr>
        <w:pStyle w:val="TextBody"/>
        <w:bidi w:val="0"/>
        <w:spacing w:lineRule="auto" w:line="288" w:before="0" w:after="200"/>
        <w:ind w:left="0" w:right="0" w:hanging="360"/>
        <w:jc w:val="left"/>
        <w:rPr>
          <w:rFonts w:ascii="Times New Roman;serif" w:hAnsi="Times New Roman;serif"/>
          <w:b w:val="false"/>
          <w:color w:val="212529"/>
          <w:sz w:val="16"/>
          <w:shd w:fill="FFFFFF" w:val="clear"/>
        </w:rPr>
      </w:pPr>
      <w:r>
        <w:rPr>
          <w:rFonts w:ascii="Times New Roman;serif" w:hAnsi="Times New Roman;serif"/>
          <w:b w:val="false"/>
          <w:color w:val="212529"/>
          <w:sz w:val="16"/>
          <w:shd w:fill="FFFFFF" w:val="clear"/>
        </w:rPr>
        <w:t>(8)Consists primarily of depreciation expense associated with our Kansas Entertainment joint venture.</w:t>
      </w:r>
    </w:p>
    <w:tbl>
      <w:tblPr>
        <w:tblW w:w="11528" w:type="dxa"/>
        <w:jc w:val="left"/>
        <w:tblInd w:w="0" w:type="dxa"/>
        <w:tblLayout w:type="fixed"/>
        <w:tblCellMar>
          <w:top w:w="28" w:type="dxa"/>
          <w:left w:w="28" w:type="dxa"/>
          <w:bottom w:w="28" w:type="dxa"/>
          <w:right w:w="28" w:type="dxa"/>
        </w:tblCellMar>
      </w:tblPr>
      <w:tblGrid>
        <w:gridCol w:w="500"/>
        <w:gridCol w:w="439"/>
        <w:gridCol w:w="367"/>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511"/>
        <w:gridCol w:w="109"/>
        <w:gridCol w:w="109"/>
        <w:gridCol w:w="109"/>
        <w:gridCol w:w="109"/>
        <w:gridCol w:w="280"/>
        <w:gridCol w:w="700"/>
        <w:gridCol w:w="146"/>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76" w:type="dxa"/>
        <w:jc w:val="left"/>
        <w:tblInd w:w="0" w:type="dxa"/>
        <w:tblLayout w:type="fixed"/>
        <w:tblCellMar>
          <w:top w:w="28" w:type="dxa"/>
          <w:left w:w="28" w:type="dxa"/>
          <w:bottom w:w="28" w:type="dxa"/>
          <w:right w:w="28" w:type="dxa"/>
        </w:tblCellMar>
      </w:tblPr>
      <w:tblGrid>
        <w:gridCol w:w="1887"/>
        <w:gridCol w:w="1661"/>
        <w:gridCol w:w="1672"/>
        <w:gridCol w:w="211"/>
        <w:gridCol w:w="69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disposal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(8)</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(9)</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REIT transaction,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financing arrangement </w:t>
            </w:r>
            <w:r>
              <w:rPr>
                <w:rFonts w:ascii="Times New Roman;serif" w:hAnsi="Times New Roman;serif"/>
                <w:b w:val="false"/>
                <w:color w:val="000000"/>
                <w:sz w:val="13"/>
              </w:rPr>
              <w:t>(10)</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online sports betting and/or iCasino partners for online sports betting and iCasino market access of </w:t>
      </w:r>
      <w:r>
        <w:rPr>
          <w:rFonts w:ascii="Times New Roman;serif" w:hAnsi="Times New Roman;serif"/>
          <w:b w:val="false"/>
          <w:color w:val="000000"/>
          <w:sz w:val="16"/>
          <w:shd w:fill="FFFFFF" w:val="clear"/>
        </w:rPr>
        <w:t>$405.6 million</w:t>
      </w:r>
      <w:r>
        <w:rPr>
          <w:color w:val="000000"/>
        </w:rPr>
        <w:t xml:space="preserve"> </w:t>
      </w:r>
      <w:r>
        <w:rPr>
          <w:rFonts w:ascii="Times New Roman;serif" w:hAnsi="Times New Roman;serif"/>
          <w:b w:val="false"/>
          <w:color w:val="000000"/>
          <w:sz w:val="16"/>
        </w:rPr>
        <w:t>for the nine months ended September 30,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 xml:space="preserve">Includes advertising expenses of </w:t>
      </w:r>
      <w:r>
        <w:rPr>
          <w:rFonts w:ascii="Times New Roman;serif" w:hAnsi="Times New Roman;serif"/>
          <w:b w:val="false"/>
          <w:color w:val="000000"/>
          <w:sz w:val="16"/>
          <w:shd w:fill="FFFFFF" w:val="clear"/>
        </w:rPr>
        <w:t>$112.5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$43.0 million</w:t>
      </w:r>
      <w:r>
        <w:rPr>
          <w:color w:val="000000"/>
        </w:rPr>
        <w:t xml:space="preserve"> </w:t>
      </w:r>
      <w:r>
        <w:rPr>
          <w:rFonts w:ascii="Times New Roman;serif" w:hAnsi="Times New Roman;serif"/>
          <w:b w:val="false"/>
          <w:color w:val="000000"/>
          <w:sz w:val="16"/>
        </w:rPr>
        <w:t>related to the Investment Agreement with ESPN. Also, includes advertising and media expenses (including such expenses associated with theScore) across various platforms, including television, radio, out-of-home, social media, and both paid and organic search, and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(6)</w:t>
      </w:r>
      <w:r>
        <w:rPr>
          <w:rFonts w:ascii="Times New Roman;serif" w:hAnsi="Times New Roman;serif"/>
          <w:b w:val="false"/>
          <w:color w:val="000000"/>
          <w:sz w:val="16"/>
        </w:rPr>
        <w:t xml:space="preserve">Primarily represents corporate overhead expenses of </w:t>
      </w:r>
      <w:r>
        <w:rPr>
          <w:rFonts w:ascii="Times New Roman;serif" w:hAnsi="Times New Roman;serif"/>
          <w:b w:val="false"/>
          <w:color w:val="000000"/>
          <w:sz w:val="16"/>
          <w:shd w:fill="FFFFFF" w:val="clear"/>
        </w:rPr>
        <w:t>$108.7 million</w:t>
      </w:r>
      <w:r>
        <w:rPr>
          <w:color w:val="000000"/>
        </w:rPr>
        <w:t xml:space="preserve"> </w:t>
      </w:r>
      <w:r>
        <w:rPr>
          <w:rFonts w:ascii="Times New Roman;serif" w:hAnsi="Times New Roman;serif"/>
          <w:b w:val="false"/>
          <w:color w:val="000000"/>
          <w:sz w:val="16"/>
        </w:rPr>
        <w:t>for the nine months ended September 30, 2025, which is inclusive of $21.0 million of legal and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and (iv) Greektown Lease.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(8)</w:t>
      </w:r>
      <w:r>
        <w:rPr>
          <w:rFonts w:ascii="Times New Roman;serif" w:hAnsi="Times New Roman;serif"/>
          <w:b w:val="false"/>
          <w:color w:val="000000"/>
          <w:sz w:val="16"/>
        </w:rPr>
        <w:t xml:space="preserve">Includes impairment charges of $15.0 million in the Midwest segment and </w:t>
      </w:r>
      <w:r>
        <w:rPr>
          <w:rFonts w:ascii="Times New Roman;serif" w:hAnsi="Times New Roman;serif"/>
          <w:b w:val="false"/>
          <w:color w:val="000000"/>
          <w:sz w:val="16"/>
          <w:shd w:fill="FFFFFF" w:val="clear"/>
        </w:rPr>
        <w:t>$825.0 million</w:t>
      </w:r>
      <w:r>
        <w:rPr>
          <w:color w:val="000000"/>
        </w:rPr>
        <w:t xml:space="preserve"> </w:t>
      </w:r>
      <w:r>
        <w:rPr>
          <w:rFonts w:ascii="Times New Roman;serif" w:hAnsi="Times New Roman;serif"/>
          <w:b w:val="false"/>
          <w:color w:val="000000"/>
          <w:sz w:val="16"/>
        </w:rPr>
        <w:t xml:space="preserve">in the Interactive segment. See </w:t>
      </w:r>
      <w:hyperlink w:anchor="i92f572135b0b478ca136af16d332df4a_79">
        <w:r>
          <w:rPr>
            <w:rStyle w:val="InternetLink"/>
            <w:rFonts w:ascii="Times New Roman;serif" w:hAnsi="Times New Roman;serif"/>
            <w:b w:val="false"/>
            <w:color w:val="0000FF"/>
            <w:sz w:val="16"/>
            <w:u w:val="single"/>
          </w:rPr>
          <w:t>Note 5, “Goodwill and Other Intangible Assets.”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(9)Consists primarily of depreciation expense associated with our Kansas Entertainment joint venture.</w:t>
      </w:r>
    </w:p>
    <w:p>
      <w:pPr>
        <w:pStyle w:val="TextBody"/>
        <w:bidi w:val="0"/>
        <w:spacing w:lineRule="auto" w:line="288" w:before="0" w:after="200"/>
        <w:ind w:left="0" w:right="0" w:hanging="360"/>
        <w:jc w:val="left"/>
        <w:rPr/>
      </w:pPr>
      <w:r>
        <w:rPr>
          <w:rFonts w:ascii="Times New Roman;serif" w:hAnsi="Times New Roman;serif"/>
          <w:b w:val="false"/>
          <w:color w:val="212529"/>
          <w:sz w:val="16"/>
          <w:shd w:fill="FFFFFF" w:val="clear"/>
        </w:rPr>
        <w:t xml:space="preserve">(10)Relates to the </w:t>
      </w:r>
      <w:r>
        <w:rPr>
          <w:rFonts w:ascii="Times New Roman;serif" w:hAnsi="Times New Roman;serif"/>
          <w:b w:val="false"/>
          <w:color w:val="000000"/>
          <w:sz w:val="16"/>
          <w:shd w:fill="FFFFFF" w:val="clear"/>
        </w:rPr>
        <w:t xml:space="preserve">$215.1 million non-cash gain on financing arrangement. See </w:t>
      </w:r>
      <w:hyperlink w:anchor="i92f572135b0b478ca136af16d332df4a_49">
        <w:r>
          <w:rPr>
            <w:rStyle w:val="InternetLink"/>
            <w:rFonts w:ascii="Times New Roman;serif" w:hAnsi="Times New Roman;serif"/>
            <w:b w:val="false"/>
            <w:color w:val="0000FF"/>
            <w:sz w:val="16"/>
            <w:u w:val="single"/>
          </w:rPr>
          <w:t>Note 6, “Long-Term Debt.”</w:t>
        </w:r>
      </w:hyperlink>
    </w:p>
    <w:tbl>
      <w:tblPr>
        <w:tblW w:w="11528" w:type="dxa"/>
        <w:jc w:val="left"/>
        <w:tblInd w:w="0" w:type="dxa"/>
        <w:tblLayout w:type="fixed"/>
        <w:tblCellMar>
          <w:top w:w="28" w:type="dxa"/>
          <w:left w:w="28" w:type="dxa"/>
          <w:bottom w:w="28" w:type="dxa"/>
          <w:right w:w="28" w:type="dxa"/>
        </w:tblCellMar>
      </w:tblPr>
      <w:tblGrid>
        <w:gridCol w:w="500"/>
        <w:gridCol w:w="439"/>
        <w:gridCol w:w="367"/>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511"/>
        <w:gridCol w:w="109"/>
        <w:gridCol w:w="109"/>
        <w:gridCol w:w="109"/>
        <w:gridCol w:w="109"/>
        <w:gridCol w:w="280"/>
        <w:gridCol w:w="700"/>
        <w:gridCol w:w="146"/>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 2024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276" w:type="dxa"/>
        <w:jc w:val="left"/>
        <w:tblInd w:w="0" w:type="dxa"/>
        <w:tblLayout w:type="fixed"/>
        <w:tblCellMar>
          <w:top w:w="28" w:type="dxa"/>
          <w:left w:w="28" w:type="dxa"/>
          <w:bottom w:w="28" w:type="dxa"/>
          <w:right w:w="28" w:type="dxa"/>
        </w:tblCellMar>
      </w:tblPr>
      <w:tblGrid>
        <w:gridCol w:w="1887"/>
        <w:gridCol w:w="1661"/>
        <w:gridCol w:w="1672"/>
        <w:gridCol w:w="211"/>
        <w:gridCol w:w="69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(8)</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online sports betting and/or iCasino partners for online sports betting and iCasino market access of </w:t>
      </w:r>
      <w:r>
        <w:rPr>
          <w:rFonts w:ascii="Times New Roman;serif" w:hAnsi="Times New Roman;serif"/>
          <w:b w:val="false"/>
          <w:color w:val="000000"/>
          <w:sz w:val="16"/>
          <w:shd w:fill="FFFFFF" w:val="clear"/>
        </w:rPr>
        <w:t>$302.8 million</w:t>
      </w:r>
      <w:r>
        <w:rPr>
          <w:color w:val="000000"/>
        </w:rPr>
        <w:t xml:space="preserve"> </w:t>
      </w:r>
      <w:r>
        <w:rPr>
          <w:rFonts w:ascii="Times New Roman;serif" w:hAnsi="Times New Roman;serif"/>
          <w:b w:val="false"/>
          <w:color w:val="000000"/>
          <w:sz w:val="16"/>
        </w:rPr>
        <w:t>for the nine months ended September 30, 2024.</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$141.7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$53.4 million</w:t>
      </w:r>
      <w:r>
        <w:rPr>
          <w:color w:val="000000"/>
        </w:rPr>
        <w:t xml:space="preserve"> </w:t>
      </w:r>
      <w:r>
        <w:rPr>
          <w:rFonts w:ascii="Times New Roman;serif" w:hAnsi="Times New Roman;serif"/>
          <w:b w:val="false"/>
          <w:color w:val="000000"/>
          <w:sz w:val="16"/>
        </w:rPr>
        <w:t xml:space="preserve">related to the Investment Agreement with ESPN. While the Sportsbook Agreement and Investment Agreement commenced on August 8, 2023, the Company began recognizing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expense, specific to the initial annual period, during the fourth quarter of 2023. Also, includes advertising and media expenses (including such expenses associated with theScore) across various platforms, including television, radio, out-of-home, social media, and both paid and organic search, and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(8) below) added back for our Kansas Entertainment joint venture.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(6)Primarily represents corporate overhead expenses of $78.5 million for the nine months ended September 30, 2024.</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and (iv) Greektown Lease.</w:t>
      </w:r>
    </w:p>
    <w:p>
      <w:pPr>
        <w:pStyle w:val="TextBody"/>
        <w:bidi w:val="0"/>
        <w:spacing w:lineRule="auto" w:line="288" w:before="0" w:after="200"/>
        <w:ind w:left="0" w:right="0" w:hanging="360"/>
        <w:jc w:val="left"/>
        <w:rPr>
          <w:rFonts w:ascii="Times New Roman;serif" w:hAnsi="Times New Roman;serif"/>
          <w:b w:val="false"/>
          <w:color w:val="212529"/>
          <w:sz w:val="16"/>
          <w:shd w:fill="FFFFFF" w:val="clear"/>
        </w:rPr>
      </w:pPr>
      <w:r>
        <w:rPr>
          <w:rFonts w:ascii="Times New Roman;serif" w:hAnsi="Times New Roman;serif"/>
          <w:b w:val="false"/>
          <w:color w:val="212529"/>
          <w:sz w:val="16"/>
          <w:shd w:fill="FFFFFF" w:val="clear"/>
        </w:rPr>
        <w:t>(8)Consists primarily of depreciation expense associated with our Kansas Entertainment joint venture.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capital expenditures by segment:</w:t>
      </w:r>
    </w:p>
    <w:tbl>
      <w:tblPr>
        <w:tblW w:w="9919" w:type="dxa"/>
        <w:jc w:val="left"/>
        <w:tblInd w:w="0" w:type="dxa"/>
        <w:tblLayout w:type="fixed"/>
        <w:tblCellMar>
          <w:top w:w="28" w:type="dxa"/>
          <w:left w:w="28" w:type="dxa"/>
          <w:bottom w:w="28" w:type="dxa"/>
          <w:right w:w="28" w:type="dxa"/>
        </w:tblCellMar>
      </w:tblPr>
      <w:tblGrid>
        <w:gridCol w:w="848"/>
        <w:gridCol w:w="742"/>
        <w:gridCol w:w="750"/>
        <w:gridCol w:w="349"/>
        <w:gridCol w:w="1021"/>
        <w:gridCol w:w="180"/>
        <w:gridCol w:w="180"/>
        <w:gridCol w:w="180"/>
        <w:gridCol w:w="180"/>
        <w:gridCol w:w="349"/>
        <w:gridCol w:w="1021"/>
        <w:gridCol w:w="180"/>
        <w:gridCol w:w="109"/>
        <w:gridCol w:w="109"/>
        <w:gridCol w:w="109"/>
        <w:gridCol w:w="340"/>
        <w:gridCol w:w="992"/>
        <w:gridCol w:w="175"/>
        <w:gridCol w:w="175"/>
        <w:gridCol w:w="175"/>
        <w:gridCol w:w="175"/>
        <w:gridCol w:w="340"/>
        <w:gridCol w:w="992"/>
        <w:gridCol w:w="248"/>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investment in and advances to unconsolidated affiliates and total assets by segment:</w:t>
      </w:r>
    </w:p>
    <w:tbl>
      <w:tblPr>
        <w:tblW w:w="10205" w:type="dxa"/>
        <w:jc w:val="left"/>
        <w:tblInd w:w="0" w:type="dxa"/>
        <w:tblLayout w:type="fixed"/>
        <w:tblCellMar>
          <w:top w:w="28" w:type="dxa"/>
          <w:left w:w="28" w:type="dxa"/>
          <w:bottom w:w="28" w:type="dxa"/>
          <w:right w:w="28" w:type="dxa"/>
        </w:tblCellMar>
      </w:tblPr>
      <w:tblGrid>
        <w:gridCol w:w="618"/>
        <w:gridCol w:w="339"/>
        <w:gridCol w:w="313"/>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5"/>
      </w:tblGrid>
      <w:tr>
        <w:trPr/>
        <w:tc>
          <w:tcPr>
            <w:tcW w:w="61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as of September 30, 2025</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as of December 31, 2024</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real estate assets subject to the Master Leases, which are classified as either property and equipment, net, operating lease ROU assets, or finance lease ROU assets, are included within the Other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results of operations, liquidity and capital resources should be read in conjunction with, and is qualified in its entirety by, the unaudited Consolidated Financial Statements and the notes thereto included in this Quarterly Report on Form 10-Q, and the Consolidated Financial Statements and notes thereto and Management’s Discussion and Analysis of Financial Condition and Results of Operations contained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PENN Entertainment, Inc., together with its subsidiaries (“PENN,” the “Company,” “we,” “our,” or “us”), operates in 28 jurisdictions throughout North America, with a broadly diversified portfolio of casinos, racetracks, and online sports betting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over 33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in the notes to the unaudited Consolidated Financial Statements and collectively referred to as the “Master 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Realignment of Digital Strategy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6, 2025, PENN announced the mutual decision for an early termination (the “Termination Agreement”) of its Sportsbook Agreement for United States (“U.S.”) online sports betting (“OSB”) with ESPN, Inc. and ESPN Enterprises Inc. (together, “ESPN”). Pursuant to the Termination Agreement, PENN’s exclusive right to use the ESPN BET trademark for OSB in the U.S. will end on December 1, 2025. As a result, we are realigning our digital focus to leverage the strength of our U.S. iCasino and Canadian operations, while continuing to use OSB to drive both the acquisition of customers with significant lifetime value and unique cross-sell opportunities across PENN’s retail and digital assets. We plan to rebrand our OSB offering in the U.S. to theScore Bet, with a target date of December 1, 2025, subject to the receipt of regulatory approvals. We currently operate theScore Bet brand in Ontario, and our OSB product in both the U.S. and Canada will now leverage connectivity with the theScore media app, which has approximately 4 million monthly active users across North America. PENN’s iCasino forward approach has clear long-term alignment to our core business, which will focus on cross-sell opportunities across our ecosystem and enhanced connectivity to our 33 million member PENN Play™ loyalty program. Our OSB offerings will continue to provide top of funnel acquisition and cross-sell opportunities for our Hollywood-branded iCasino, which will remain integrated into our OSB product in states where legal, in addition to serving as a standalone iCasino app.</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Recent Development Projects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10, 2022, the Company announced its intent to pursue four new development projects, including the land-based relocations of Hollywood Casino Joliet (“Joliet”) and Hollywood Casino Aurora (“Aurora”), a second hotel tower at M Resort Spa Casino (“M Resort”), and a new hotel at Hollywood Casino Columbus (“Columbus”).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Subsequently, on February 21, 2023, as described in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in the notes to the unaudited Consolidated Financial Statements, the Company and GLPI entered into a master development agreement (the “Master Development Agreement”) related to these development projects.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Master Development Agreement provides that GLPI will fund (i) up to $225.0 million for the relocation of our riverboat casino and related developments with respect to Aurora (the “Aurora Project”); and (ii) upon our request, up to $130.0 million for the relocation of our riverboat casino and related developments with respect to Joliet (the “Joliet Project”), up to $150.0 million for the second hotel tower at M Resort (the “M Resort Project”), up to $70.0 million for the new hotel tower at Columbus (the “Columbus Project” and together with Joliet Project and M Resort Project, the “Other Development Projects,” and together with the Aurora Project, referred to as the “PENN Development Projects”), all within accordance with certain terms and conditions set forth in the Master Development Agreement. GLPI has committed up to $225.0 million in funding for the Aurora Project at a 7.75% cap rate, which we are required to draw and the funding will be structured as rent under the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pPr>
      <w:r>
        <w:rPr>
          <w:rFonts w:ascii="Times New Roman;serif" w:hAnsi="Times New Roman;serif"/>
          <w:b w:val="false"/>
          <w:color w:val="000000"/>
          <w:sz w:val="20"/>
        </w:rPr>
        <w:t xml:space="preserve">Master Lease (as described in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in the notes to the unaudited Consolidated Financial Statements). Rent within the 2023 Master Lease will increase by a percentage, based on the then-current GLPI stock price, of any project funding received by PENN from GLPI for the Other Development Projects. These funding obligations of GLPI expire on January 1, 2026, provided that (i) for the Columbus Project, if the Company provides notice to GLPI by December 31, 2025 that the Company is electing to receive GLPI funding, the Company shall submit a draw notice for such project by no later than March 31, 2026 requesting to receive GLPI funds by no later than June 30, 2026 and (ii) for the Aurora Project, the Company shall submit a draw notice for such project by no later than March 31, 2026 requesting to receive GLPI funds by no later than June 30, 2026 (altogether, the “GLPI Funding Deadline Extension”). The PENN Development Projects are all subject to necessary regulatory and other government approvals.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Joliet Project to relocate its riverboat casino operations to a new, state-of-the-art land-based facility opened on August 11, 2025. The best-in-class property features approximately 1,000 slots and 43 live table games, including high-limit slots and table games, a baccarat room, and a retail sportsbook. Its unique bars and restaurants include Sorellina by Giada De Laurentiis and Boulevard Food &amp; Drink Hall. Additional features of the new property include an approximately 10,000 square foot, all-ages event center with meeting areas, and approximately 1,330 parking spaces. On August 1, 2025, the Company received the full $130.0 million in committed funding from GLPI for the Joliet Project, resulting in a $10.1 million increase in annual rent, subject to annual escalation pursuant to the 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Aurora Project to relocate its riverboat casino operations to a new, state-of-the-art land-based facility is expected to open in the second quarter of 2026. The land-based casino will feature roughly 1,200 gaming positions, approximately 220 guest rooms, a retail sportsbook, outdoor entertainment area, full-service spa, high-quality bars and restaurants, an approximately 12,000 square foot event center with meeting areas, and approximately 1,700 parking spaces. The Aurora Project included the transfer of certain parcels of land from the City of Aurora, and up to $50.0 million of the project will be funded by the city through a new bond issuance. As of November 5, 2025, we have neither requested nor received any funding from GLPI for the Aurora Project, while the Company has received $13.8 million from the City of Aurora.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second hotel tower at M Resort is expected to open on December 1, 2025. The M Resort Project is expected to add 384 rooms to the Company’s property south of the Las Vegas Strip, bringing its total to 774 rooms and suites. Along with the rooms, there will be expanded meeting space, updated amenities, and additional local partnerships. On November 3, 2025, the Company received the full $150.0 million in committed funding from GLPI for the M Resort Project, resulting in an $11.7 million increase in annual rent, subject to annual escalation pursuant to the 2023 Master Lease.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new, state-of-the-art hotel at Columbus is expected to open in the second quarter of 2026. The hotel is expected to include 180 rooms, meeting space, an additional restaurant, and local partnerships and amenities. As of November 5, 2025, we have neither requested nor received any funding from GLPI for the Columbus Project.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announced a development project to relocate its Ameristar Council Bluffs (“ACB”) riverboat casino operations to a new, state-of-the-art land-based property to be rebranded as Hollywood Casino Council Bluffs (“HCCB”). Under the proposed plan, the new HCCB is expected to include roughly 125,000 square feet of new development with approximately 58,000 square feet of gaming space and more than 1,000 positions on a single level. The new facility will complement the existing retail sportsbook, 160-room hotel, and dining options in the landside portion of the current infrastructure. The project is anticipated to cost between $180.0 million and $200.0 million and is expected to take 18-24 months to complete following the design and permitting approval process. GLPI has committed to finance up to $150.0 million at a 7.1% cap rate, which may be structured at PENN’s option as either rent or a 5-year term loan that is prepayable at any time without penalty.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Strategic 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portfolio of assets provides us with the benefit of geographically 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Our sports media assets and proprietary online sports betting and iCasino technology reinforce our strategy to continue evolving from the nation’s largest regional gaming operator to a best-in-class omni-channel provider of retail gaming, iCasino, and sports betting entertainment. Additionally, our iCasino forward strategy with long-term alignment to our core business will focus on cross-sell opportunities across our ecosystem and enhanced connectivity to our PENN Play™ loyalty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and Competitive Environment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our properties operate in mature, competitive markets. We expect the majority of our future growth to come from our online sports betting and iCasino businesses; improvements, expansions, or relocations of our existing properties; entrance into new jurisdictions or verticals; expansions of gaming in existing jurisdictions; strategic investments and acquisitions; and cross-sell opportunities between our retail gaming, online sports betting, and iCasino businesses. Our portfolio is comprised largely of well-maintained regional gaming facilities, which has allowed us to develop what we believe to be a solid base for future growth opportunities.</w:t>
      </w:r>
    </w:p>
    <w:p>
      <w:pPr>
        <w:pStyle w:val="TextBody"/>
        <w:bidi w:val="0"/>
        <w:spacing w:lineRule="auto" w:line="288" w:before="0" w:after="200"/>
        <w:ind w:left="0" w:right="0" w:firstLine="360"/>
        <w:jc w:val="left"/>
        <w:rPr/>
      </w:pPr>
      <w:r>
        <w:rPr>
          <w:rFonts w:ascii="Times New Roman;serif" w:hAnsi="Times New Roman;serif"/>
          <w:b w:val="false"/>
          <w:color w:val="000000"/>
          <w:sz w:val="20"/>
        </w:rPr>
        <w:t>We continuously adjust operations, offerings, and cost structures to reflect changing economic conditions, as well as consumer demand and behaviors. We also continue to focus on revenue and cost synergies from recent acquisitions, technology enhancements, and providing customers with additional gaming and entertainment experiences through our differentiated omni-channel strategy. We seek to grow our customer database and PENN Play</w:t>
      </w:r>
      <w:r>
        <w:rPr>
          <w:color w:val="000000"/>
        </w:rPr>
        <w:t xml:space="preserve"> </w:t>
      </w:r>
      <w:r>
        <w:rPr>
          <w:rFonts w:ascii="Times New Roman;serif" w:hAnsi="Times New Roman;serif"/>
          <w:b w:val="false"/>
          <w:color w:val="000000"/>
          <w:sz w:val="20"/>
        </w:rPr>
        <w:t>loyalty program through our iCasino and online sports betting businesses, the development of new properties, the expansion of existing properties and other business lines, and through partnerships with third-party partners, such as Shake Shack Inc., Ticketmaster Entertainment, LLC, Norwegian Cruise Line Holdings Ltd., Live Nation Entertainment, Inc., and Choice Hotels International, Inc. In addition, we believe that our online gaming offerings, combined with other strategic relationships we have, or may develop in the future, should enable us to acquire new customers, expand our player database, and provide additional revenue streams that enhance our omnichannel strategy.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historical horse racing gaming terminals, illegal slot machines and skill games, fantasy sports and third-party internet or mobile-based gaming platforms, including both legal and illegal iCasino and sports betting operations, and emerging prediction markets. See the </w:t>
      </w:r>
      <w:hyperlink w:anchor="i92f572135b0b478ca136af16d332df4a_109">
        <w:r>
          <w:rPr>
            <w:rStyle w:val="InternetLink"/>
            <w:color w:val="0000FF"/>
            <w:u w:val="single"/>
          </w:rPr>
          <w:t>“</w:t>
        </w:r>
      </w:hyperlink>
      <w:hyperlink w:anchor="i92f572135b0b478ca136af16d332df4a_109">
        <w:r>
          <w:rPr>
            <w:rStyle w:val="InternetLink"/>
            <w:rFonts w:ascii="Times New Roman;serif" w:hAnsi="Times New Roman;serif"/>
            <w:b w:val="false"/>
            <w:color w:val="0000FF"/>
            <w:sz w:val="20"/>
            <w:u w:val="single"/>
          </w:rPr>
          <w:t>Segment comparison of the three and nine months ended September 30, 2025 and 2024”</w:t>
        </w:r>
      </w:hyperlink>
      <w:r>
        <w:rPr>
          <w:color w:val="000000"/>
        </w:rPr>
        <w:t xml:space="preserve"> </w:t>
      </w:r>
      <w:r>
        <w:rPr>
          <w:rFonts w:ascii="Times New Roman;serif" w:hAnsi="Times New Roman;serif"/>
          <w:b w:val="false"/>
          <w:color w:val="000000"/>
          <w:sz w:val="20"/>
        </w:rPr>
        <w:t>section below for discussions on our results of operations by reportable segment.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Key Performance Indicators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our business, revenue is driven by discretionary consumer spending. We have no certain mechanism for determining why consumers choose to spend more or less money at our properties or on our online offerings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actual or perceived weakened general economic conditions, such as recessions, inflation, rising interest rate environments, tight credit conditions, high unemployment levels, higher income taxes, low levels of consumer confidence, weakness in the housing market, high fuel or other transportation costs, global hostilities, political or social unrest, and the effects of pandemics.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revenues is gaming revenue, which is highly dependent upon the volume and spending levels of customers at our properties. Our gaming revenue is derived primarily from slot machines (which represented approximately 86% and 85% of our gaming revenue for each of the nine months ended September 30, 2025 and 2024) and, to a lesser extent, table games, online sports betting, and iCasino. Aside from gaming revenue, our revenues are primarily derived from our hotel, dining, retail, commissions, program sales, admissions, concessions and certain other ancillary activities, and our racing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gaming revenue are slot handle and table game drop, which are volume indicators, and “win” or “hold” percentage. Our typical property slot win percentage is in the range of approximately 5% to 11% of slot handle, and our typical table game hold percentage is in the range of approximately 12% to 29% of table game drop.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high-value play, which can lead to volatility in hold percentages. Therefore, changes in table game hold percentages do not typically have a material impact to our results of operations and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online gaming revenue, including online sports betting and iCasino, are handle, which is a volume indicator, and “win” or “hold” percentage. Our online sports betting win percentage is in the range of approximately 4.6% to 9.2% of online handle, online slot win percentage is in the range of approximately 4.5% to 4.9% of online slot handle, and our online table game hold percentage is in the range of approximately 1.6% to 2.2% of online table game handle.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online gaming, customers deposit cash into their online accounts for use in online sports betting and iCasino play. Liabilities are recognized for online player account funds that have not been withdrawn and for wagers that have been placed on events that have not yet occurred. Online sportsbook handle is the gross amount wagered during a given period. The win or hold percentage is the net amount of gaming wins and losses, with liabilities recognized for any bonus funds deposited into player accounts. Given that online sports betting wagers are made based on the outcomes of future sporting events, the win or hold percentage can vary based on the bet type (i.e. straight wagers vs. parlay wagers). Online slot handle is the gross amount wagered during a given period. The win or hold percentage is the net amount of gaming wins and losses, with liabilities recognized for accruals related to the anticipated payout of online progressive jackpots. Online table game hold is the amount of handle that is retained and recorded as gaming revenue. Given the stability in our online slot and online table game hold percentages on a historical basis, we have not experienced significant impacts to the results of our operations or cash flows from changes in these percentages.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normal operating conditions, our properties generate significant operating cash flow since most of our revenue is cash-based from slot machines and table games. Our business is capital intensive and we rely on cash flow from our properties to generate sufficient cash to satisfy our obligations under the Triple Net Leases (as defined in </w:t>
      </w:r>
      <w:hyperlink w:anchor="i92f572135b0b478ca136af16d332df4a_118">
        <w:r>
          <w:rPr>
            <w:rStyle w:val="InternetLink"/>
            <w:color w:val="0000FF"/>
            <w:u w:val="single"/>
          </w:rPr>
          <w:t>“</w:t>
        </w:r>
      </w:hyperlink>
      <w:hyperlink w:anchor="i92f572135b0b478ca136af16d332df4a_118">
        <w:r>
          <w:rPr>
            <w:rStyle w:val="InternetLink"/>
            <w:rFonts w:ascii="Times New Roman;serif" w:hAnsi="Times New Roman;serif"/>
            <w:b w:val="false"/>
            <w:color w:val="0000FF"/>
            <w:sz w:val="20"/>
            <w:u w:val="single"/>
          </w:rPr>
          <w:t>Liquidity and Capital Resources”</w:t>
        </w:r>
      </w:hyperlink>
      <w:r>
        <w:rPr>
          <w:rFonts w:ascii="Times New Roman;serif" w:hAnsi="Times New Roman;serif"/>
          <w:b w:val="false"/>
          <w:color w:val="000000"/>
          <w:sz w:val="20"/>
        </w:rPr>
        <w:t xml:space="preserve">), repay debt, fund maintenance capital expenditures, repurchase our common stock, fund new capital projects at existing properties, and provide excess cash for future development and acquisitions. Additional information regarding our capital projects is discussed in </w:t>
      </w:r>
      <w:hyperlink w:anchor="i92f572135b0b478ca136af16d332df4a_118">
        <w:r>
          <w:rPr>
            <w:rStyle w:val="InternetLink"/>
            <w:color w:val="0000FF"/>
            <w:u w:val="single"/>
          </w:rPr>
          <w:t>“</w:t>
        </w:r>
      </w:hyperlink>
      <w:hyperlink w:anchor="i92f572135b0b478ca136af16d332df4a_118">
        <w:r>
          <w:rPr>
            <w:rStyle w:val="InternetLink"/>
            <w:rFonts w:ascii="Times New Roman;serif" w:hAnsi="Times New Roman;serif"/>
            <w:b w:val="false"/>
            <w:color w:val="0000FF"/>
            <w:sz w:val="20"/>
            <w:u w:val="single"/>
          </w:rPr>
          <w:t>Liquidity and Capital Resources”</w:t>
        </w:r>
      </w:hyperlink>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five reportable segments: Northeast, South, West, Midwest, and Interactive. The Northeast, South, West, and Midwest segments (referred to as our “retail segments”) primarily generate revenue from gaming operations (such as slot machines and table games), food and beverage offerings, and hotel visitation. The Interactive segment includes all of our online sports betting, online casino/iCasino, and social gaming (collectively referred to as “online gaming”) operations, management of retail sports betting, and media operations.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For a listing of our gaming properties and VGT operations included in each reportable segment, see </w:t>
      </w:r>
      <w:hyperlink w:anchor="i92f572135b0b478ca136af16d332df4a_37">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in the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highlights our revenues, net loss, and Adjusted EBITDA, on a consolidated basis, as well as our revenues and Adjusted EBITDAR by reportable segment. Such segment reporting is consistent with how we measure our business and allocate resources internally. We consider net loss to be the most directly comparable financial measure calculated in accordance with generally accepted accounting principles in the United States (“GAAP”) to Consolidated Adjusted EBITDA, which is a non-GAAP financial measure. Refer to “Reportable Segment Measures” below for the definition of Segment Adjusted EBITDAR. Refer to “Non-GAAP Financial Measure” below for the definition of Consolidated Adjusted EBITDA as well as a reconciliation of net loss to Consolidated Adjusted EBITDA.</w:t>
      </w:r>
    </w:p>
    <w:tbl>
      <w:tblPr>
        <w:tblW w:w="10205" w:type="dxa"/>
        <w:jc w:val="left"/>
        <w:tblInd w:w="0" w:type="dxa"/>
        <w:tblLayout w:type="fixed"/>
        <w:tblCellMar>
          <w:top w:w="28" w:type="dxa"/>
          <w:left w:w="28" w:type="dxa"/>
          <w:bottom w:w="28" w:type="dxa"/>
          <w:right w:w="28" w:type="dxa"/>
        </w:tblCellMar>
      </w:tblPr>
      <w:tblGrid>
        <w:gridCol w:w="1333"/>
        <w:gridCol w:w="1067"/>
        <w:gridCol w:w="1024"/>
        <w:gridCol w:w="515"/>
        <w:gridCol w:w="423"/>
        <w:gridCol w:w="320"/>
        <w:gridCol w:w="246"/>
        <w:gridCol w:w="246"/>
        <w:gridCol w:w="246"/>
        <w:gridCol w:w="515"/>
        <w:gridCol w:w="423"/>
        <w:gridCol w:w="320"/>
        <w:gridCol w:w="109"/>
        <w:gridCol w:w="109"/>
        <w:gridCol w:w="109"/>
        <w:gridCol w:w="497"/>
        <w:gridCol w:w="360"/>
        <w:gridCol w:w="361"/>
        <w:gridCol w:w="237"/>
        <w:gridCol w:w="237"/>
        <w:gridCol w:w="237"/>
        <w:gridCol w:w="497"/>
        <w:gridCol w:w="320"/>
        <w:gridCol w:w="454"/>
      </w:tblGrid>
      <w:tr>
        <w:trPr/>
        <w:tc>
          <w:tcPr>
            <w:tcW w:w="133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2,083.0</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eliminations </w:t>
            </w:r>
            <w:r>
              <w:rPr>
                <w:rFonts w:ascii="Times New Roman;serif" w:hAnsi="Times New Roman;serif"/>
                <w:b w:val="false"/>
                <w:color w:val="000000"/>
                <w:sz w:val="13"/>
              </w:rPr>
              <w:t>(2)</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4,909.1</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(3)</w:t>
            </w:r>
            <w:r>
              <w:rPr>
                <w:rFonts w:ascii="Times New Roman;serif" w:hAnsi="Times New Roman;serif"/>
                <w:b/>
                <w:color w:val="000000"/>
                <w:sz w:val="20"/>
              </w:rPr>
              <w:t>:</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w:t>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r>
      <w:tr>
        <w:trPr/>
        <w:tc>
          <w:tcPr>
            <w:tcW w:w="3424"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(4)</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r>
      <w:tr>
        <w:trPr/>
        <w:tc>
          <w:tcPr>
            <w:tcW w:w="3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Consolidated Adjusted EBITDA </w:t>
            </w:r>
            <w:r>
              <w:rPr>
                <w:rFonts w:ascii="Times New Roman;serif" w:hAnsi="Times New Roman;serif"/>
                <w:b/>
                <w:color w:val="000000"/>
                <w:sz w:val="13"/>
              </w:rPr>
              <w:t>(5)</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Other category, included in the tables to reconcile the segment information to the consolidated information, consists of the Company’s stand-alone racing operations, namely Sanford-Orlando Kennel Club, Sam Houston and Valley Race Park, the Company’s joint venture interest in Freehold Raceway (which ceased operations on December 28, 2024),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which consists of certain expenses, such as: payroll, professional fees, travel expenses, and other general and administrative expenses that do not directly relate to or have not otherwise been allocated. Corporate overhead was $34.0 million and $29.1 million for the three months ended September 30, 2025 and 2024, respectively, and $108.7 million and $78.5 million for the nine months ended September 30, 2025 and 2024, respectively. Corporate overhead for the three and nine months ended September 30, 2025 include $3.9 million and $21.0 million, respectively, of legal and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(3)See definition of “Segment Adjusted EBITDAR” within the “Reportable Segment Measures” section below.</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(4)Pertains to the following operating leases: (i) AR PENN Master Lease; (ii) 2023 Master Lease; (iii) Margaritaville Lease; and (iv) Greektown Lease.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(5)See definition of Consolidated Adjusted EBITDA within the “Non-GAAP Financial Measure”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Consolidated comparison of the three and nine months ended September 30, 2025 and 2024</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revenues:</w:t>
      </w:r>
    </w:p>
    <w:tbl>
      <w:tblPr>
        <w:tblW w:w="10250" w:type="dxa"/>
        <w:jc w:val="left"/>
        <w:tblInd w:w="0" w:type="dxa"/>
        <w:tblLayout w:type="fixed"/>
        <w:tblCellMar>
          <w:top w:w="28" w:type="dxa"/>
          <w:left w:w="28" w:type="dxa"/>
          <w:bottom w:w="28" w:type="dxa"/>
          <w:right w:w="28" w:type="dxa"/>
        </w:tblCellMar>
      </w:tblPr>
      <w:tblGrid>
        <w:gridCol w:w="425"/>
        <w:gridCol w:w="215"/>
        <w:gridCol w:w="216"/>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233"/>
        <w:gridCol w:w="233"/>
        <w:gridCol w:w="256"/>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33"/>
        <w:gridCol w:w="233"/>
        <w:gridCol w:w="301"/>
      </w:tblGrid>
      <w:tr>
        <w:trPr/>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Gaming revenues </w:t>
      </w:r>
      <w:r>
        <w:rPr>
          <w:rFonts w:ascii="Times New Roman;serif" w:hAnsi="Times New Roman;serif"/>
          <w:b w:val="false"/>
          <w:color w:val="000000"/>
          <w:sz w:val="20"/>
        </w:rPr>
        <w:t xml:space="preserve">for the three months ended September 30, 2025 increased by $37.2 million, </w:t>
      </w:r>
      <w:r>
        <w:rPr>
          <w:rFonts w:ascii="Times New Roman;serif" w:hAnsi="Times New Roman;serif"/>
          <w:b w:val="false"/>
          <w:color w:val="000000"/>
          <w:sz w:val="20"/>
          <w:shd w:fill="FFFFFF" w:val="clear"/>
        </w:rPr>
        <w:t xml:space="preserve">compared to the prior year period, primarily due to an increase in online slot revenues at our Interactive segment. At our retail properties, increases in gaming revenues at our Northeast, West, and Midwest segments were offset by decreases in gaming revenues within our South segment as new </w:t>
      </w:r>
      <w:r>
        <w:rPr>
          <w:rFonts w:ascii="Times New Roman;serif" w:hAnsi="Times New Roman;serif"/>
          <w:b w:val="false"/>
          <w:color w:val="000000"/>
          <w:sz w:val="20"/>
        </w:rPr>
        <w:t>supply continues to</w:t>
      </w:r>
      <w:r>
        <w:rPr>
          <w:color w:val="000000"/>
          <w:shd w:fill="FFFFFF" w:val="clear"/>
        </w:rPr>
        <w:t xml:space="preserve"> </w:t>
      </w:r>
      <w:r>
        <w:rPr>
          <w:rFonts w:ascii="Times New Roman;serif" w:hAnsi="Times New Roman;serif"/>
          <w:b w:val="false"/>
          <w:color w:val="000000"/>
          <w:sz w:val="20"/>
          <w:shd w:fill="FFFFFF" w:val="clear"/>
        </w:rPr>
        <w:t>impact visitation.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Gaming revenues</w:t>
      </w:r>
      <w:r>
        <w:rPr>
          <w:color w:val="000000"/>
        </w:rPr>
        <w:t xml:space="preserve"> </w:t>
      </w:r>
      <w:r>
        <w:rPr>
          <w:rFonts w:ascii="Times New Roman;serif" w:hAnsi="Times New Roman;serif"/>
          <w:b w:val="false"/>
          <w:color w:val="000000"/>
          <w:sz w:val="20"/>
        </w:rPr>
        <w:t>for the nine months ended September 30, 2025 increased by</w:t>
      </w:r>
      <w:r>
        <w:rPr>
          <w:color w:val="000000"/>
          <w:shd w:fill="FFFFFF" w:val="clear"/>
        </w:rPr>
        <w:t xml:space="preserve"> </w:t>
      </w:r>
      <w:r>
        <w:rPr>
          <w:rFonts w:ascii="Times New Roman;serif" w:hAnsi="Times New Roman;serif"/>
          <w:b w:val="false"/>
          <w:color w:val="000000"/>
          <w:sz w:val="20"/>
        </w:rPr>
        <w:t xml:space="preserve">$112.6 million, </w:t>
      </w:r>
      <w:r>
        <w:rPr>
          <w:rFonts w:ascii="Times New Roman;serif" w:hAnsi="Times New Roman;serif"/>
          <w:b w:val="false"/>
          <w:color w:val="000000"/>
          <w:sz w:val="20"/>
          <w:shd w:fill="FFFFFF" w:val="clear"/>
        </w:rPr>
        <w:t xml:space="preserve">compared to the prior year period, primarily due to an increase in online gaming revenues at our Interactive segment. This increase was due to </w:t>
      </w:r>
      <w:r>
        <w:rPr>
          <w:rFonts w:ascii="Times New Roman;serif" w:hAnsi="Times New Roman;serif"/>
          <w:b w:val="false"/>
          <w:color w:val="000000"/>
          <w:sz w:val="20"/>
        </w:rPr>
        <w:t>iCasino and online sports betting growth driven by ongoing product enhancements and decreased promotional expense. Additionally, i</w:t>
      </w:r>
      <w:r>
        <w:rPr>
          <w:rFonts w:ascii="Times New Roman;serif" w:hAnsi="Times New Roman;serif"/>
          <w:b w:val="false"/>
          <w:color w:val="000000"/>
          <w:sz w:val="20"/>
          <w:shd w:fill="FFFFFF" w:val="clear"/>
        </w:rPr>
        <w:t xml:space="preserve">ncreases in gaming revenues within our Northeast and West segments were offset by decreases within our South and Midwest segments, as new </w:t>
      </w:r>
      <w:r>
        <w:rPr>
          <w:rFonts w:ascii="Times New Roman;serif" w:hAnsi="Times New Roman;serif"/>
          <w:b w:val="false"/>
          <w:color w:val="000000"/>
          <w:sz w:val="20"/>
        </w:rPr>
        <w:t>supply continues to</w:t>
      </w:r>
      <w:r>
        <w:rPr>
          <w:color w:val="000000"/>
          <w:shd w:fill="FFFFFF" w:val="clear"/>
        </w:rPr>
        <w:t xml:space="preserve"> </w:t>
      </w:r>
      <w:r>
        <w:rPr>
          <w:rFonts w:ascii="Times New Roman;serif" w:hAnsi="Times New Roman;serif"/>
          <w:b w:val="false"/>
          <w:color w:val="000000"/>
          <w:sz w:val="20"/>
          <w:shd w:fill="FFFFFF" w:val="clear"/>
        </w:rPr>
        <w:t>impact visitation.</w:t>
      </w:r>
    </w:p>
    <w:p>
      <w:pPr>
        <w:pStyle w:val="TextBody"/>
        <w:bidi w:val="0"/>
        <w:spacing w:lineRule="auto" w:line="288" w:before="0" w:after="200"/>
        <w:ind w:left="0" w:right="0" w:firstLine="360"/>
        <w:jc w:val="left"/>
        <w:rPr/>
      </w:pPr>
      <w:r>
        <w:rPr>
          <w:rFonts w:ascii="Times New Roman;serif" w:hAnsi="Times New Roman;serif"/>
          <w:b/>
          <w:i/>
          <w:color w:val="000000"/>
          <w:sz w:val="20"/>
        </w:rPr>
        <w:t>Food, beverage, hotel, and other revenues</w:t>
      </w:r>
      <w:r>
        <w:rPr>
          <w:color w:val="000000"/>
        </w:rPr>
        <w:t xml:space="preserve"> </w:t>
      </w:r>
      <w:r>
        <w:rPr>
          <w:rFonts w:ascii="Times New Roman;serif" w:hAnsi="Times New Roman;serif"/>
          <w:b w:val="false"/>
          <w:color w:val="000000"/>
          <w:sz w:val="20"/>
        </w:rPr>
        <w:t>for the three and nine months ended</w:t>
      </w:r>
      <w:r>
        <w:rPr>
          <w:color w:val="000000"/>
          <w:shd w:fill="FFFFFF" w:val="clear"/>
        </w:rPr>
        <w:t xml:space="preserve"> </w:t>
      </w:r>
      <w:r>
        <w:rPr>
          <w:rFonts w:ascii="Times New Roman;serif" w:hAnsi="Times New Roman;serif"/>
          <w:b w:val="false"/>
          <w:color w:val="000000"/>
          <w:sz w:val="20"/>
        </w:rPr>
        <w:t>September 30, 2025 increased by $40.9 million and $133.1 million, respectively, compared to the corresponding prior year periods. For the three and nine months ended</w:t>
      </w:r>
      <w:r>
        <w:rPr>
          <w:color w:val="000000"/>
          <w:shd w:fill="FFFFFF" w:val="clear"/>
        </w:rPr>
        <w:t xml:space="preserve"> </w:t>
      </w:r>
      <w:r>
        <w:rPr>
          <w:rFonts w:ascii="Times New Roman;serif" w:hAnsi="Times New Roman;serif"/>
          <w:b w:val="false"/>
          <w:color w:val="000000"/>
          <w:sz w:val="20"/>
        </w:rPr>
        <w:t xml:space="preserve">September 30, 2025, the increase was primarily due to gaming tax reimbursement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online sports betting and/or iCasino </w:t>
      </w:r>
      <w:r>
        <w:rPr>
          <w:rFonts w:ascii="Times New Roman;serif" w:hAnsi="Times New Roman;serif"/>
          <w:b w:val="false"/>
          <w:color w:val="000000"/>
          <w:sz w:val="20"/>
          <w:shd w:fill="FFFFFF" w:val="clear"/>
        </w:rPr>
        <w:t>partners for online sports betting and iCasino market access</w:t>
      </w:r>
      <w:r>
        <w:rPr>
          <w:color w:val="000000"/>
        </w:rPr>
        <w:t xml:space="preserve"> </w:t>
      </w:r>
      <w:r>
        <w:rPr>
          <w:rFonts w:ascii="Times New Roman;serif" w:hAnsi="Times New Roman;serif"/>
          <w:b w:val="false"/>
          <w:color w:val="000000"/>
          <w:sz w:val="20"/>
        </w:rPr>
        <w:t>of $35.4 million and $102.8 million, respectively,</w:t>
      </w:r>
      <w:r>
        <w:rPr>
          <w:color w:val="000000"/>
          <w:shd w:fill="FFFFFF" w:val="clear"/>
        </w:rPr>
        <w:t xml:space="preserve"> </w:t>
      </w:r>
      <w:r>
        <w:rPr>
          <w:rFonts w:ascii="Times New Roman;serif" w:hAnsi="Times New Roman;serif"/>
          <w:b w:val="false"/>
          <w:color w:val="000000"/>
          <w:sz w:val="20"/>
        </w:rPr>
        <w:t>compared to the prior year periods.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92f572135b0b478ca136af16d332df4a_109">
        <w:r>
          <w:rPr>
            <w:rStyle w:val="InternetLink"/>
            <w:color w:val="0000FF"/>
            <w:u w:val="single"/>
          </w:rPr>
          <w:t>“</w:t>
        </w:r>
      </w:hyperlink>
      <w:hyperlink w:anchor="i92f572135b0b478ca136af16d332df4a_109">
        <w:r>
          <w:rPr>
            <w:rStyle w:val="InternetLink"/>
            <w:rFonts w:ascii="Times New Roman;serif" w:hAnsi="Times New Roman;serif"/>
            <w:b w:val="false"/>
            <w:color w:val="0000FF"/>
            <w:sz w:val="20"/>
            <w:u w:val="single"/>
          </w:rPr>
          <w:t>Segment comparison of the three and nine months ended September 30, 2025 and 2024”</w:t>
        </w:r>
      </w:hyperlink>
      <w:r>
        <w:rPr>
          <w:color w:val="000000"/>
        </w:rPr>
        <w:t xml:space="preserve"> </w:t>
      </w:r>
      <w:r>
        <w:rPr>
          <w:rFonts w:ascii="Times New Roman;serif" w:hAnsi="Times New Roman;serif"/>
          <w:b w:val="false"/>
          <w:color w:val="000000"/>
          <w:sz w:val="20"/>
        </w:rPr>
        <w:t>below for more detailed explanations of the fluctuations in revenues.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operating expenses:</w:t>
      </w:r>
    </w:p>
    <w:tbl>
      <w:tblPr>
        <w:tblW w:w="10730" w:type="dxa"/>
        <w:jc w:val="left"/>
        <w:tblInd w:w="0" w:type="dxa"/>
        <w:tblLayout w:type="fixed"/>
        <w:tblCellMar>
          <w:top w:w="28" w:type="dxa"/>
          <w:left w:w="28" w:type="dxa"/>
          <w:bottom w:w="28" w:type="dxa"/>
          <w:right w:w="28" w:type="dxa"/>
        </w:tblCellMar>
      </w:tblPr>
      <w:tblGrid>
        <w:gridCol w:w="680"/>
        <w:gridCol w:w="215"/>
        <w:gridCol w:w="216"/>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33"/>
        <w:gridCol w:w="233"/>
        <w:gridCol w:w="256"/>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233"/>
        <w:gridCol w:w="233"/>
        <w:gridCol w:w="301"/>
      </w:tblGrid>
      <w:tr>
        <w:trPr/>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i/>
          <w:color w:val="000000"/>
          <w:sz w:val="20"/>
        </w:rPr>
        <w:t>Gaming expenses</w:t>
      </w:r>
      <w:r>
        <w:rPr>
          <w:color w:val="000000"/>
        </w:rPr>
        <w:t xml:space="preserve"> </w:t>
      </w:r>
      <w:r>
        <w:rPr>
          <w:rFonts w:ascii="Times New Roman;serif" w:hAnsi="Times New Roman;serif"/>
          <w:b w:val="false"/>
          <w:color w:val="000000"/>
          <w:sz w:val="20"/>
        </w:rPr>
        <w:t>primarily consist of gaming taxes, payroll, marketing and promotional, and other expenses associated with our gaming operations. Gaming expenses for the three months ended</w:t>
      </w:r>
      <w:r>
        <w:rPr>
          <w:color w:val="000000"/>
          <w:shd w:fill="FFFFFF" w:val="clear"/>
        </w:rPr>
        <w:t xml:space="preserve"> </w:t>
      </w:r>
      <w:r>
        <w:rPr>
          <w:rFonts w:ascii="Times New Roman;serif" w:hAnsi="Times New Roman;serif"/>
          <w:b w:val="false"/>
          <w:color w:val="000000"/>
          <w:sz w:val="20"/>
        </w:rPr>
        <w:t xml:space="preserve">September 30, 2025 increased by $26.3 million, </w:t>
      </w:r>
      <w:r>
        <w:rPr>
          <w:rFonts w:ascii="Times New Roman;serif" w:hAnsi="Times New Roman;serif"/>
          <w:b w:val="false"/>
          <w:color w:val="000000"/>
          <w:sz w:val="20"/>
          <w:shd w:fill="FFFFFF" w:val="clear"/>
        </w:rPr>
        <w:t xml:space="preserve">compared to the corresponding prior year period, primarily driven by </w:t>
      </w:r>
      <w:r>
        <w:rPr>
          <w:rFonts w:ascii="Times New Roman;serif" w:hAnsi="Times New Roman;serif"/>
          <w:b w:val="false"/>
          <w:color w:val="000000"/>
          <w:sz w:val="20"/>
        </w:rPr>
        <w:t xml:space="preserve">gaming taxes due to increased </w:t>
      </w:r>
      <w:r>
        <w:rPr>
          <w:rFonts w:ascii="Times New Roman;serif" w:hAnsi="Times New Roman;serif"/>
          <w:b w:val="false"/>
          <w:color w:val="000000"/>
          <w:sz w:val="20"/>
          <w:shd w:fill="FFFFFF" w:val="clear"/>
        </w:rPr>
        <w:t xml:space="preserve">online gaming revenue at our Interactive segment, as discussed above. Additionally, </w:t>
      </w:r>
      <w:r>
        <w:rPr>
          <w:rFonts w:ascii="Times New Roman;serif" w:hAnsi="Times New Roman;serif"/>
          <w:b w:val="false"/>
          <w:color w:val="000000"/>
          <w:sz w:val="20"/>
        </w:rPr>
        <w:t>for the three months ended</w:t>
      </w:r>
      <w:r>
        <w:rPr>
          <w:color w:val="000000"/>
          <w:shd w:fill="FFFFFF" w:val="clear"/>
        </w:rPr>
        <w:t xml:space="preserve">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gaming expenses increased at our retail properties within our Northeast, West, and Midwest segments due to an increase in gaming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Gaming expenses for the nine months ended</w:t>
      </w:r>
      <w:r>
        <w:rPr>
          <w:color w:val="000000"/>
          <w:shd w:fill="FFFFFF" w:val="clear"/>
        </w:rPr>
        <w:t xml:space="preserve"> </w:t>
      </w:r>
      <w:r>
        <w:rPr>
          <w:rFonts w:ascii="Times New Roman;serif" w:hAnsi="Times New Roman;serif"/>
          <w:b w:val="false"/>
          <w:color w:val="000000"/>
          <w:sz w:val="20"/>
        </w:rPr>
        <w:t xml:space="preserve">September 30, 2025 decreased by $0.8 million, </w:t>
      </w:r>
      <w:r>
        <w:rPr>
          <w:rFonts w:ascii="Times New Roman;serif" w:hAnsi="Times New Roman;serif"/>
          <w:b w:val="false"/>
          <w:color w:val="000000"/>
          <w:sz w:val="20"/>
          <w:shd w:fill="FFFFFF" w:val="clear"/>
        </w:rPr>
        <w:t xml:space="preserve">compared to the corresponding prior year period. We incurred additional marketing expenses to support our initial launch of ESPN BET within our Interactive segment during the </w:t>
      </w:r>
      <w:r>
        <w:rPr>
          <w:rFonts w:ascii="Times New Roman;serif" w:hAnsi="Times New Roman;serif"/>
          <w:b w:val="false"/>
          <w:color w:val="000000"/>
          <w:sz w:val="20"/>
        </w:rPr>
        <w:t>corresponding prior year period. For the nine months ended</w:t>
      </w:r>
      <w:r>
        <w:rPr>
          <w:color w:val="000000"/>
          <w:shd w:fill="FFFFFF" w:val="clear"/>
        </w:rPr>
        <w:t xml:space="preserve"> </w:t>
      </w:r>
      <w:r>
        <w:rPr>
          <w:rFonts w:ascii="Times New Roman;serif" w:hAnsi="Times New Roman;serif"/>
          <w:b w:val="false"/>
          <w:color w:val="000000"/>
          <w:sz w:val="20"/>
        </w:rPr>
        <w:t xml:space="preserve">September 30, 2025, the decrease was partially offset by an increase in gaming taxes due to increased </w:t>
      </w:r>
      <w:r>
        <w:rPr>
          <w:rFonts w:ascii="Times New Roman;serif" w:hAnsi="Times New Roman;serif"/>
          <w:b w:val="false"/>
          <w:color w:val="000000"/>
          <w:sz w:val="20"/>
          <w:shd w:fill="FFFFFF" w:val="clear"/>
        </w:rPr>
        <w:t>online gaming revenue at our Interactive segment and</w:t>
      </w:r>
      <w:r>
        <w:rPr>
          <w:color w:val="000000"/>
        </w:rPr>
        <w:t xml:space="preserve"> </w:t>
      </w:r>
      <w:r>
        <w:rPr>
          <w:rFonts w:ascii="Times New Roman;serif" w:hAnsi="Times New Roman;serif"/>
          <w:b w:val="false"/>
          <w:color w:val="000000"/>
          <w:sz w:val="20"/>
        </w:rPr>
        <w:t xml:space="preserve">increased gaming revenues at our retail properties within our Northeast and West segments, </w:t>
      </w:r>
      <w:r>
        <w:rPr>
          <w:rFonts w:ascii="Times New Roman;serif" w:hAnsi="Times New Roman;serif"/>
          <w:b w:val="false"/>
          <w:color w:val="000000"/>
          <w:sz w:val="20"/>
          <w:shd w:fill="FFFFFF" w:val="clear"/>
        </w:rPr>
        <w:t>as discussed above.</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Food, beverage, hotel, and other expenses </w:t>
      </w:r>
      <w:r>
        <w:rPr>
          <w:rFonts w:ascii="Times New Roman;serif" w:hAnsi="Times New Roman;serif"/>
          <w:b w:val="false"/>
          <w:color w:val="000000"/>
          <w:sz w:val="20"/>
        </w:rPr>
        <w:t>consist primarily of payroll expenses, costs of goods sold, and other costs associated with our food, beverage, hotel, retail, racing, and Interactive operations. Fo</w:t>
      </w:r>
      <w:r>
        <w:rPr>
          <w:rFonts w:ascii="Times New Roman;serif" w:hAnsi="Times New Roman;serif"/>
          <w:b w:val="false"/>
          <w:color w:val="000000"/>
          <w:sz w:val="20"/>
          <w:shd w:fill="FFFFFF" w:val="clear"/>
        </w:rPr>
        <w:t xml:space="preserve">od, beverage, hotel, and other expenses for the </w:t>
      </w:r>
      <w:r>
        <w:rPr>
          <w:rFonts w:ascii="Times New Roman;serif" w:hAnsi="Times New Roman;serif"/>
          <w:b w:val="false"/>
          <w:color w:val="000000"/>
          <w:sz w:val="20"/>
        </w:rPr>
        <w:t>three and nine months ended</w:t>
      </w:r>
      <w:r>
        <w:rPr>
          <w:color w:val="000000"/>
          <w:shd w:fill="FFFFFF" w:val="clear"/>
        </w:rPr>
        <w:t xml:space="preserve">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increased </w:t>
      </w:r>
      <w:r>
        <w:rPr>
          <w:rFonts w:ascii="Times New Roman;serif" w:hAnsi="Times New Roman;serif"/>
          <w:b w:val="false"/>
          <w:color w:val="000000"/>
          <w:sz w:val="20"/>
        </w:rPr>
        <w:t>$39.8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$115.9 million, respectively, </w:t>
      </w:r>
      <w:r>
        <w:rPr>
          <w:rFonts w:ascii="Times New Roman;serif" w:hAnsi="Times New Roman;serif"/>
          <w:b w:val="false"/>
          <w:color w:val="000000"/>
          <w:sz w:val="20"/>
          <w:shd w:fill="FFFFFF" w:val="clear"/>
        </w:rPr>
        <w:t xml:space="preserve">compared to the corresponding prior year periods, primarily due to increases in gaming tax reimbursement amounts related to </w:t>
      </w:r>
      <w:r>
        <w:rPr>
          <w:rFonts w:ascii="Times New Roman;serif" w:hAnsi="Times New Roman;serif"/>
          <w:b w:val="false"/>
          <w:color w:val="000000"/>
          <w:sz w:val="20"/>
        </w:rPr>
        <w:t xml:space="preserve">third-party online sports betting and/or iCasino </w:t>
      </w:r>
      <w:r>
        <w:rPr>
          <w:rFonts w:ascii="Times New Roman;serif" w:hAnsi="Times New Roman;serif"/>
          <w:b w:val="false"/>
          <w:color w:val="000000"/>
          <w:sz w:val="20"/>
          <w:shd w:fill="FFFFFF" w:val="clear"/>
        </w:rPr>
        <w:t>partners for online sports betting and iCasino market access.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General and administrative expenses </w:t>
      </w:r>
      <w:r>
        <w:rPr>
          <w:rFonts w:ascii="Times New Roman;serif" w:hAnsi="Times New Roman;serif"/>
          <w:b w:val="false"/>
          <w:color w:val="000000"/>
          <w:sz w:val="20"/>
        </w:rPr>
        <w:t>include items such as compliance, facility maintenance, utilities, property and liability insurance, surveillance and security, and lobbying expenses,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general and administrative expenses increased by $25.4 million and $61.1 million, respectively, compared to the corresponding prior year periods. The increase is primarily due to legal and advisory costs related to activist activity incurred in connection with our 2025 annual meeting of shareholders of $3.9 million and $21.0 million, respectively, increases in pre-opening expenses of $9.6 million and $14.5 million for the PENN Development Projects, respectively, and increases in stock-based compensation.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Impairment loss </w:t>
      </w:r>
      <w:r>
        <w:rPr>
          <w:rFonts w:ascii="Times New Roman;serif" w:hAnsi="Times New Roman;serif"/>
          <w:b w:val="false"/>
          <w:color w:val="000000"/>
          <w:sz w:val="20"/>
        </w:rPr>
        <w:t>for the three months ended</w:t>
      </w:r>
      <w:r>
        <w:rPr>
          <w:color w:val="000000"/>
          <w:shd w:fill="FFFFFF" w:val="clear"/>
        </w:rPr>
        <w:t xml:space="preserve"> </w:t>
      </w:r>
      <w:r>
        <w:rPr>
          <w:rFonts w:ascii="Times New Roman;serif" w:hAnsi="Times New Roman;serif"/>
          <w:b w:val="false"/>
          <w:color w:val="000000"/>
          <w:sz w:val="20"/>
        </w:rPr>
        <w:t xml:space="preserve">September 30, 2025, relates to an impairment charge of $825.0 million at our Interactive segment on its goodwill. The impairment resulted from the Company’s realignment of its digital focus following the mutual decision for an early termination of our Sportsbook Agreement with ESPN (as defined in </w:t>
      </w:r>
      <w:hyperlink w:anchor="i92f572135b0b478ca136af16d332df4a_58">
        <w:r>
          <w:rPr>
            <w:rStyle w:val="InternetLink"/>
            <w:rFonts w:ascii="Times New Roman;serif" w:hAnsi="Times New Roman;serif"/>
            <w:b w:val="false"/>
            <w:color w:val="0000FF"/>
            <w:sz w:val="20"/>
            <w:u w:val="single"/>
          </w:rPr>
          <w:t>Note 9, “Commitments and Contingencies”</w:t>
        </w:r>
      </w:hyperlink>
      <w:r>
        <w:rPr>
          <w:rFonts w:ascii="Times New Roman;serif" w:hAnsi="Times New Roman;serif"/>
          <w:b w:val="false"/>
          <w:color w:val="000000"/>
          <w:sz w:val="20"/>
        </w:rPr>
        <w:t xml:space="preserve">). As part of the realignment, the Company is focusing on the strength of its U.S. iCasino and Canadian operations, while continuing to use online sports betting to drive both the acquisition of customers with significant lifetime value and unique cross-sell opportunities across PENN’s retail and digital assets, and will rebrand its online sports betting offering in the U.S. to theScore Bet, subject to receipt of regulatory approvals. The realignment of its digital focus led the Company to revise its cash flow projections for the Interactive reporting unit and perform a quantitative impairment test, which resulted in a non-cash impairment charge of $825.0 million. See </w:t>
      </w:r>
      <w:hyperlink w:anchor="i92f572135b0b478ca136af16d332df4a_79">
        <w:r>
          <w:rPr>
            <w:rStyle w:val="InternetLink"/>
            <w:rFonts w:ascii="Times New Roman;serif" w:hAnsi="Times New Roman;serif"/>
            <w:b w:val="false"/>
            <w:color w:val="0000FF"/>
            <w:sz w:val="20"/>
            <w:u w:val="single"/>
          </w:rPr>
          <w:t>Note 5, “Goodwill and Other Intangible Assets”</w:t>
        </w:r>
      </w:hyperlink>
      <w:r>
        <w:rPr>
          <w:color w:val="000000"/>
        </w:rPr>
        <w:t xml:space="preserve"> </w:t>
      </w:r>
      <w:r>
        <w:rPr>
          <w:rFonts w:ascii="Times New Roman;serif" w:hAnsi="Times New Roman;serif"/>
          <w:b w:val="false"/>
          <w:color w:val="000000"/>
          <w:sz w:val="20"/>
        </w:rPr>
        <w:t>in the notes to the unaudited Consolidated Financial Statements for further discussion.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Impairment losses for the nine months ended</w:t>
      </w:r>
      <w:r>
        <w:rPr>
          <w:color w:val="000000"/>
          <w:shd w:fill="FFFFFF" w:val="clear"/>
        </w:rPr>
        <w:t xml:space="preserve"> </w:t>
      </w:r>
      <w:r>
        <w:rPr>
          <w:rFonts w:ascii="Times New Roman;serif" w:hAnsi="Times New Roman;serif"/>
          <w:b w:val="false"/>
          <w:color w:val="000000"/>
          <w:sz w:val="20"/>
        </w:rPr>
        <w:t xml:space="preserve">September 30, 2025, in addition to the impairment charge at our Interactive segment discussed above, also included an impairment charge of $15.0 million at our ACB property on its trademark as a result of the strategic decision to rebrand ACB. See </w:t>
      </w:r>
      <w:hyperlink w:anchor="i92f572135b0b478ca136af16d332df4a_79">
        <w:r>
          <w:rPr>
            <w:rStyle w:val="InternetLink"/>
            <w:rFonts w:ascii="Times New Roman;serif" w:hAnsi="Times New Roman;serif"/>
            <w:b w:val="false"/>
            <w:color w:val="0000FF"/>
            <w:sz w:val="20"/>
            <w:u w:val="single"/>
          </w:rPr>
          <w:t>Note 5, “Goodwill and Other Intangible Assets”</w:t>
        </w:r>
      </w:hyperlink>
      <w:r>
        <w:rPr>
          <w:color w:val="000000"/>
        </w:rPr>
        <w:t xml:space="preserve"> </w:t>
      </w:r>
      <w:r>
        <w:rPr>
          <w:rFonts w:ascii="Times New Roman;serif" w:hAnsi="Times New Roman;serif"/>
          <w:b w:val="false"/>
          <w:color w:val="000000"/>
          <w:sz w:val="20"/>
        </w:rPr>
        <w:t>in the notes to the unaudited Consolidated Financial Statements for further discussion.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impairment losses for the three and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other income (expenses):</w:t>
      </w:r>
    </w:p>
    <w:tbl>
      <w:tblPr>
        <w:tblW w:w="10205" w:type="dxa"/>
        <w:jc w:val="left"/>
        <w:tblInd w:w="0" w:type="dxa"/>
        <w:tblLayout w:type="fixed"/>
        <w:tblCellMar>
          <w:top w:w="28" w:type="dxa"/>
          <w:left w:w="28" w:type="dxa"/>
          <w:bottom w:w="28" w:type="dxa"/>
          <w:right w:w="28" w:type="dxa"/>
        </w:tblCellMar>
      </w:tblPr>
      <w:tblGrid>
        <w:gridCol w:w="747"/>
        <w:gridCol w:w="269"/>
        <w:gridCol w:w="239"/>
        <w:gridCol w:w="200"/>
        <w:gridCol w:w="494"/>
        <w:gridCol w:w="111"/>
        <w:gridCol w:w="111"/>
        <w:gridCol w:w="111"/>
        <w:gridCol w:w="111"/>
        <w:gridCol w:w="200"/>
        <w:gridCol w:w="586"/>
        <w:gridCol w:w="111"/>
        <w:gridCol w:w="109"/>
        <w:gridCol w:w="109"/>
        <w:gridCol w:w="109"/>
        <w:gridCol w:w="196"/>
        <w:gridCol w:w="466"/>
        <w:gridCol w:w="109"/>
        <w:gridCol w:w="109"/>
        <w:gridCol w:w="109"/>
        <w:gridCol w:w="109"/>
        <w:gridCol w:w="241"/>
        <w:gridCol w:w="242"/>
        <w:gridCol w:w="256"/>
        <w:gridCol w:w="109"/>
        <w:gridCol w:w="109"/>
        <w:gridCol w:w="109"/>
        <w:gridCol w:w="199"/>
        <w:gridCol w:w="584"/>
        <w:gridCol w:w="110"/>
        <w:gridCol w:w="110"/>
        <w:gridCol w:w="110"/>
        <w:gridCol w:w="110"/>
        <w:gridCol w:w="199"/>
        <w:gridCol w:w="584"/>
        <w:gridCol w:w="110"/>
        <w:gridCol w:w="109"/>
        <w:gridCol w:w="109"/>
        <w:gridCol w:w="109"/>
        <w:gridCol w:w="196"/>
        <w:gridCol w:w="556"/>
        <w:gridCol w:w="109"/>
        <w:gridCol w:w="109"/>
        <w:gridCol w:w="109"/>
        <w:gridCol w:w="109"/>
        <w:gridCol w:w="241"/>
        <w:gridCol w:w="242"/>
        <w:gridCol w:w="310"/>
      </w:tblGrid>
      <w:tr>
        <w:trPr/>
        <w:tc>
          <w:tcPr>
            <w:tcW w:w="7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REIT transaction, net</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decreased by $21.2 million and $53.0 million for the three and nine months ended September 30, 2025, respectively, compared to the corresponding prior year periods. The prior year periods and the first quarter of 2025 included interest expense related to the Company’s financing arrangement, which is described in further detail below in “Gain on financing arrangement.” Additionally, capitalized interest related to the PENN Development Projects increased from the prior year periods.</w:t>
      </w:r>
    </w:p>
    <w:p>
      <w:pPr>
        <w:pStyle w:val="TextBody"/>
        <w:bidi w:val="0"/>
        <w:spacing w:lineRule="auto" w:line="288" w:before="0" w:after="200"/>
        <w:ind w:left="0" w:right="0" w:firstLine="360"/>
        <w:jc w:val="left"/>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decreased by $4.0 million and $11.6 million for the three and nine months ended September 30, 2025, respectively, compared to the corresponding prior year periods, primarily due to lower cash balances invested in our money market funds.</w:t>
      </w:r>
    </w:p>
    <w:p>
      <w:pPr>
        <w:pStyle w:val="TextBody"/>
        <w:bidi w:val="0"/>
        <w:spacing w:lineRule="auto" w:line="288" w:before="0" w:after="200"/>
        <w:ind w:left="0" w:right="0" w:firstLine="360"/>
        <w:jc w:val="left"/>
        <w:rPr/>
      </w:pPr>
      <w:r>
        <w:rPr>
          <w:rFonts w:ascii="Times New Roman;serif" w:hAnsi="Times New Roman;serif"/>
          <w:b/>
          <w:i/>
          <w:color w:val="000000"/>
          <w:sz w:val="20"/>
        </w:rPr>
        <w:t>Income from unconsolidated affiliates</w:t>
      </w:r>
      <w:r>
        <w:rPr>
          <w:color w:val="000000"/>
        </w:rPr>
        <w:t xml:space="preserve"> </w:t>
      </w:r>
      <w:r>
        <w:rPr>
          <w:rFonts w:ascii="Times New Roman;serif" w:hAnsi="Times New Roman;serif"/>
          <w:b w:val="false"/>
          <w:color w:val="000000"/>
          <w:sz w:val="20"/>
        </w:rPr>
        <w:t>relates primarily to our investment in Kansas Entertainment and Freehold Raceway joint ventures. Operations at Freehold Raceway ceased on December 28, 2024. The change in income from the corresponding prior year periods is due to fluctuations in earnings from our investments in these unconsolidated affiliates.</w:t>
      </w:r>
    </w:p>
    <w:p>
      <w:pPr>
        <w:pStyle w:val="TextBody"/>
        <w:bidi w:val="0"/>
        <w:spacing w:lineRule="auto" w:line="288" w:before="0" w:after="200"/>
        <w:ind w:left="0" w:right="0" w:firstLine="360"/>
        <w:jc w:val="left"/>
        <w:rPr/>
      </w:pPr>
      <w:r>
        <w:rPr>
          <w:rFonts w:ascii="Times New Roman;serif" w:hAnsi="Times New Roman;serif"/>
          <w:b/>
          <w:i/>
          <w:color w:val="000000"/>
          <w:sz w:val="20"/>
        </w:rPr>
        <w:t>Gain on REIT transaction, net</w:t>
      </w:r>
      <w:r>
        <w:rPr>
          <w:color w:val="000000"/>
        </w:rPr>
        <w:t xml:space="preserve"> </w:t>
      </w:r>
      <w:r>
        <w:rPr>
          <w:rFonts w:ascii="Times New Roman;serif" w:hAnsi="Times New Roman;serif"/>
          <w:b w:val="false"/>
          <w:color w:val="000000"/>
          <w:sz w:val="20"/>
        </w:rPr>
        <w:t xml:space="preserve">relates to the remeasurement of the operating lease liabilities related to the removal of the previously leased Joliet facility assets as part of the 2023 Master Lease modification on August 1, 2025. See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to the unaudited Consolidated Financial Statements for further discussion.</w:t>
      </w:r>
    </w:p>
    <w:p>
      <w:pPr>
        <w:pStyle w:val="TextBody"/>
        <w:bidi w:val="0"/>
        <w:spacing w:lineRule="auto" w:line="288" w:before="0" w:after="200"/>
        <w:ind w:left="0" w:right="0" w:firstLine="360"/>
        <w:jc w:val="left"/>
        <w:rPr/>
      </w:pPr>
      <w:r>
        <w:rPr>
          <w:rFonts w:ascii="Times New Roman;serif" w:hAnsi="Times New Roman;serif"/>
          <w:b/>
          <w:i/>
          <w:color w:val="000000"/>
          <w:sz w:val="20"/>
        </w:rPr>
        <w:t>Gain on financing arrangement</w:t>
      </w:r>
      <w:r>
        <w:rPr>
          <w:color w:val="000000"/>
        </w:rPr>
        <w:t xml:space="preserve"> </w:t>
      </w:r>
      <w:r>
        <w:rPr>
          <w:rFonts w:ascii="Times New Roman;serif" w:hAnsi="Times New Roman;serif"/>
          <w:b w:val="false"/>
          <w:color w:val="000000"/>
          <w:sz w:val="20"/>
        </w:rPr>
        <w:t xml:space="preserve">relates to a $215.1 million non-cash gain on a financing arrangement that we entered into in February 2021 with a third-party, which provided the Company with upfront and non-refundable cash proceeds while permitting us to participate in future proceeds on certain insurance coverage claims for economic losses PENN sustained due to the COVID-19 pandemic. During the first quarter of 2025, the Company determined that obligations under these claims are no longer probable and therefore recognized a non-cash gain related to this obligation comprised of cash proceeds received in 2021 of $72.5 million and $142.6 million of accreted non-cash interest. See </w:t>
      </w:r>
      <w:hyperlink w:anchor="i92f572135b0b478ca136af16d332df4a_49">
        <w:r>
          <w:rPr>
            <w:rStyle w:val="InternetLink"/>
            <w:rFonts w:ascii="Times New Roman;serif" w:hAnsi="Times New Roman;serif"/>
            <w:b w:val="false"/>
            <w:color w:val="0000FF"/>
            <w:sz w:val="20"/>
            <w:u w:val="single"/>
          </w:rPr>
          <w:t>Note 6, “Long-Term Debt”</w:t>
        </w:r>
      </w:hyperlink>
      <w:r>
        <w:rPr>
          <w:color w:val="000000"/>
        </w:rPr>
        <w:t xml:space="preserve"> </w:t>
      </w:r>
      <w:r>
        <w:rPr>
          <w:rFonts w:ascii="Times New Roman;serif" w:hAnsi="Times New Roman;serif"/>
          <w:b w:val="false"/>
          <w:color w:val="000000"/>
          <w:sz w:val="20"/>
        </w:rPr>
        <w:t>to the unaudited Consolidated Financial Statements for additional details.</w:t>
      </w:r>
    </w:p>
    <w:p>
      <w:pPr>
        <w:pStyle w:val="TextBody"/>
        <w:bidi w:val="0"/>
        <w:spacing w:lineRule="auto" w:line="288" w:before="0" w:after="200"/>
        <w:ind w:left="0" w:right="0" w:firstLine="360"/>
        <w:jc w:val="left"/>
        <w:rPr/>
      </w:pPr>
      <w:r>
        <w:rPr>
          <w:rFonts w:ascii="Times New Roman;serif" w:hAnsi="Times New Roman;serif"/>
          <w:b/>
          <w:i/>
          <w:color w:val="000000"/>
          <w:sz w:val="20"/>
        </w:rPr>
        <w:t>Loss on early extinguishment of debt</w:t>
      </w:r>
      <w:r>
        <w:rPr>
          <w:color w:val="000000"/>
        </w:rPr>
        <w:t xml:space="preserve"> </w:t>
      </w:r>
      <w:r>
        <w:rPr>
          <w:rFonts w:ascii="Times New Roman;serif" w:hAnsi="Times New Roman;serif"/>
          <w:b w:val="false"/>
          <w:color w:val="000000"/>
          <w:sz w:val="20"/>
        </w:rPr>
        <w:t xml:space="preserve">relates to the repurchases of the 2.75% convertible notes due 2026 (the “Convertible Notes”). See </w:t>
      </w:r>
      <w:hyperlink w:anchor="i92f572135b0b478ca136af16d332df4a_49">
        <w:r>
          <w:rPr>
            <w:rStyle w:val="InternetLink"/>
            <w:rFonts w:ascii="Times New Roman;serif" w:hAnsi="Times New Roman;serif"/>
            <w:b w:val="false"/>
            <w:color w:val="0000FF"/>
            <w:sz w:val="20"/>
            <w:u w:val="single"/>
          </w:rPr>
          <w:t>Note 6, “Long-Term Debt”</w:t>
        </w:r>
      </w:hyperlink>
      <w:r>
        <w:rPr>
          <w:color w:val="000000"/>
        </w:rPr>
        <w:t xml:space="preserve"> </w:t>
      </w:r>
      <w:r>
        <w:rPr>
          <w:rFonts w:ascii="Times New Roman;serif" w:hAnsi="Times New Roman;serif"/>
          <w:b w:val="false"/>
          <w:color w:val="000000"/>
          <w:sz w:val="20"/>
        </w:rPr>
        <w:t>to the unaudited Consolidated Financial Statements for further discussion.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Other </w:t>
      </w:r>
      <w:r>
        <w:rPr>
          <w:rFonts w:ascii="Times New Roman;serif" w:hAnsi="Times New Roman;serif"/>
          <w:b w:val="false"/>
          <w:color w:val="000000"/>
          <w:sz w:val="20"/>
        </w:rPr>
        <w:t>primarily consisted of realized and unrealized gains and losses on equity securities held by PENN Interactive as well as miscellaneous income and expense items. The equity securities were sold during the quarter ended June 30,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was $5.3 million and $2.8 million for the three months ended</w:t>
      </w:r>
      <w:r>
        <w:rPr>
          <w:color w:val="000000"/>
          <w:shd w:fill="FFFFFF" w:val="clear"/>
        </w:rPr>
        <w:t xml:space="preserve"> </w:t>
      </w:r>
      <w:r>
        <w:rPr>
          <w:rFonts w:ascii="Times New Roman;serif" w:hAnsi="Times New Roman;serif"/>
          <w:b w:val="false"/>
          <w:color w:val="000000"/>
          <w:sz w:val="20"/>
        </w:rPr>
        <w:t>September 30, 2025 and 2024, respectively, and expense of $59.4 million as compared to a benefit of $13.0 million for the nine months ended</w:t>
      </w:r>
      <w:r>
        <w:rPr>
          <w:color w:val="000000"/>
          <w:shd w:fill="FFFFFF" w:val="clear"/>
        </w:rPr>
        <w:t xml:space="preserve"> </w:t>
      </w:r>
      <w:r>
        <w:rPr>
          <w:rFonts w:ascii="Times New Roman;serif" w:hAnsi="Times New Roman;serif"/>
          <w:b w:val="false"/>
          <w:color w:val="000000"/>
          <w:sz w:val="20"/>
        </w:rPr>
        <w:t>September 30, 2025 and 2024, respectively. The effective tax rate (income taxes as a percentage of income from operations before income taxes), including discrete items was (56.7)% and 32.2% for the three and nine months ended</w:t>
      </w:r>
      <w:r>
        <w:rPr>
          <w:color w:val="000000"/>
          <w:shd w:fill="FFFFFF" w:val="clear"/>
        </w:rPr>
        <w:t xml:space="preserve"> </w:t>
      </w:r>
      <w:r>
        <w:rPr>
          <w:rFonts w:ascii="Times New Roman;serif" w:hAnsi="Times New Roman;serif"/>
          <w:b w:val="false"/>
          <w:color w:val="000000"/>
          <w:sz w:val="20"/>
        </w:rPr>
        <w:t xml:space="preserve">September 30, 2025, respectively. </w:t>
      </w:r>
    </w:p>
    <w:p>
      <w:pPr>
        <w:pStyle w:val="TextBody"/>
        <w:bidi w:val="0"/>
        <w:spacing w:before="0" w:after="20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excluded certain foreign losses from our worldwide effective tax rate calculation due to a year-to-date ordinary loss for which no benefit may be recognized. The change in the effective tax rate for the three and nine months ended September 30, 2025, as compared to the corresponding prior periods was primarily due to: (i) excluding certain foreign losses for which no tax benefit can be recognized in our worldwide effective tax rate calculation; (ii) non-deductible permanent items; (iii) state taxes; and (iv) changes to the valuation allowance. See </w:t>
      </w:r>
      <w:hyperlink w:anchor="i92f572135b0b478ca136af16d332df4a_55">
        <w:r>
          <w:rPr>
            <w:rStyle w:val="InternetLink"/>
            <w:rFonts w:ascii="Times New Roman;serif" w:hAnsi="Times New Roman;serif"/>
            <w:b w:val="false"/>
            <w:color w:val="0000FF"/>
            <w:sz w:val="20"/>
            <w:u w:val="single"/>
          </w:rPr>
          <w:t>Note 8, “Income Taxes”</w:t>
        </w:r>
      </w:hyperlink>
      <w:r>
        <w:rPr>
          <w:color w:val="000000"/>
        </w:rPr>
        <w:t xml:space="preserve"> </w:t>
      </w:r>
      <w:r>
        <w:rPr>
          <w:rFonts w:ascii="Times New Roman;serif" w:hAnsi="Times New Roman;serif"/>
          <w:b w:val="false"/>
          <w:color w:val="000000"/>
          <w:sz w:val="20"/>
        </w:rPr>
        <w:t>to the unaudited Consolidated Financial Statements for additional details.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may vary each reporting period depending on, among other factors, the geographic and business mix of our earnings, changes to our valuation allowances, and the level of our tax credits. These and other factors, including our history and projections of pre-tax earnings, are considered in assessing the realizability of our net deferred tax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16, 2025, the Indiana Supreme Court heard oral arguments between the Company and the Indiana Department of State Revenue on notices of proposed assessments for tax years 2015 through 2017. The Company believes that it is reasonably possible that its current unrecognized tax reserve may change within the next twelve months.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 was enacted. Key business income tax provisions of the OBBB applicable to the Company include (i) reinstatement of immediate deduction for domestic research or experimental expenditures; (ii) extension of 100% accelerated tax bonus depreciation for qualifying depreciable assets; and (iii) restoration of the favorable EBITDA-based business interest expense limitation. The impacts of the OBBB are reflected in our results for the quarter and did not have a material impact on the Company’s effective tax rate for the three and nine months ended September 30, 2025. The Company expects a beneficial reduction to cash tax liability; however, we will continue to assess the potential impact on our financial results and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Segment comparison of the three and nine months ended September 30, 2025 and 2024</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Northeast Segment</w:t>
      </w:r>
    </w:p>
    <w:tbl>
      <w:tblPr>
        <w:tblW w:w="10205" w:type="dxa"/>
        <w:jc w:val="left"/>
        <w:tblInd w:w="0" w:type="dxa"/>
        <w:tblLayout w:type="fixed"/>
        <w:tblCellMar>
          <w:top w:w="28" w:type="dxa"/>
          <w:left w:w="28" w:type="dxa"/>
          <w:bottom w:w="28" w:type="dxa"/>
          <w:right w:w="28" w:type="dxa"/>
        </w:tblCellMar>
      </w:tblPr>
      <w:tblGrid>
        <w:gridCol w:w="561"/>
        <w:gridCol w:w="340"/>
        <w:gridCol w:w="341"/>
        <w:gridCol w:w="268"/>
        <w:gridCol w:w="253"/>
        <w:gridCol w:w="335"/>
        <w:gridCol w:w="141"/>
        <w:gridCol w:w="141"/>
        <w:gridCol w:w="141"/>
        <w:gridCol w:w="268"/>
        <w:gridCol w:w="253"/>
        <w:gridCol w:w="335"/>
        <w:gridCol w:w="109"/>
        <w:gridCol w:w="109"/>
        <w:gridCol w:w="109"/>
        <w:gridCol w:w="196"/>
        <w:gridCol w:w="404"/>
        <w:gridCol w:w="109"/>
        <w:gridCol w:w="109"/>
        <w:gridCol w:w="109"/>
        <w:gridCol w:w="109"/>
        <w:gridCol w:w="201"/>
        <w:gridCol w:w="202"/>
        <w:gridCol w:w="256"/>
        <w:gridCol w:w="109"/>
        <w:gridCol w:w="109"/>
        <w:gridCol w:w="109"/>
        <w:gridCol w:w="269"/>
        <w:gridCol w:w="249"/>
        <w:gridCol w:w="439"/>
        <w:gridCol w:w="141"/>
        <w:gridCol w:w="141"/>
        <w:gridCol w:w="141"/>
        <w:gridCol w:w="269"/>
        <w:gridCol w:w="249"/>
        <w:gridCol w:w="439"/>
        <w:gridCol w:w="109"/>
        <w:gridCol w:w="109"/>
        <w:gridCol w:w="109"/>
        <w:gridCol w:w="196"/>
        <w:gridCol w:w="466"/>
        <w:gridCol w:w="109"/>
        <w:gridCol w:w="109"/>
        <w:gridCol w:w="109"/>
        <w:gridCol w:w="109"/>
        <w:gridCol w:w="201"/>
        <w:gridCol w:w="202"/>
        <w:gridCol w:w="314"/>
      </w:tblGrid>
      <w:tr>
        <w:trPr/>
        <w:tc>
          <w:tcPr>
            <w:tcW w:w="56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bps</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Northeast segment’s revenues for the three months ended September 30, 2025 increased by $5.7 million, compared to the prior year period, primarily due to an increase in gaming revenues, particularly slots revenues, offset by a decrease in hotel revenue.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Northeast segment’s revenues for the nine months ended September 30, 2025 increased $17.2 million, compared to the prior year period, primarily due to an increase in gaming revenues, particularly slots revenues, as well as an increase to food and beverage revenue.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months ended September 30, 2025, </w:t>
      </w:r>
      <w:r>
        <w:rPr>
          <w:rFonts w:ascii="Times New Roman;serif" w:hAnsi="Times New Roman;serif"/>
          <w:b w:val="false"/>
          <w:color w:val="000000"/>
          <w:sz w:val="20"/>
          <w:shd w:fill="FFFFFF" w:val="clear"/>
        </w:rPr>
        <w:t xml:space="preserve">the Northeast segment’s Adjusted EBITDAR decreased </w:t>
      </w:r>
      <w:r>
        <w:rPr>
          <w:rFonts w:ascii="Times New Roman;serif" w:hAnsi="Times New Roman;serif"/>
          <w:b w:val="false"/>
          <w:color w:val="000000"/>
          <w:sz w:val="20"/>
        </w:rPr>
        <w:t>$1.4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djusted EBITDAR margin decreased to </w:t>
      </w:r>
      <w:r>
        <w:rPr>
          <w:rFonts w:ascii="Times New Roman;serif" w:hAnsi="Times New Roman;serif"/>
          <w:b w:val="false"/>
          <w:color w:val="000000"/>
          <w:sz w:val="20"/>
        </w:rPr>
        <w:t xml:space="preserve">28.7% primarily </w:t>
      </w:r>
      <w:r>
        <w:rPr>
          <w:rFonts w:ascii="Times New Roman;serif" w:hAnsi="Times New Roman;serif"/>
          <w:b w:val="false"/>
          <w:color w:val="000000"/>
          <w:sz w:val="20"/>
          <w:shd w:fill="FFFFFF" w:val="clear"/>
        </w:rPr>
        <w:t>due to increased labor costs.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nine months ended September 30, 2025, </w:t>
      </w:r>
      <w:r>
        <w:rPr>
          <w:rFonts w:ascii="Times New Roman;serif" w:hAnsi="Times New Roman;serif"/>
          <w:b w:val="false"/>
          <w:color w:val="000000"/>
          <w:sz w:val="20"/>
          <w:shd w:fill="FFFFFF" w:val="clear"/>
        </w:rPr>
        <w:t xml:space="preserve">the Northeast segment’s Adjusted EBITDAR decreased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djusted EBITDAR margin decreased to </w:t>
      </w:r>
      <w:r>
        <w:rPr>
          <w:rFonts w:ascii="Times New Roman;serif" w:hAnsi="Times New Roman;serif"/>
          <w:b w:val="false"/>
          <w:color w:val="000000"/>
          <w:sz w:val="20"/>
        </w:rPr>
        <w:t xml:space="preserve">28.9%, primarily </w:t>
      </w:r>
      <w:r>
        <w:rPr>
          <w:rFonts w:ascii="Times New Roman;serif" w:hAnsi="Times New Roman;serif"/>
          <w:b w:val="false"/>
          <w:color w:val="000000"/>
          <w:sz w:val="20"/>
          <w:shd w:fill="FFFFFF" w:val="clear"/>
        </w:rPr>
        <w:t xml:space="preserve">due to </w:t>
      </w:r>
      <w:r>
        <w:rPr>
          <w:rFonts w:ascii="Times New Roman;serif" w:hAnsi="Times New Roman;serif"/>
          <w:b w:val="false"/>
          <w:color w:val="000000"/>
          <w:sz w:val="20"/>
        </w:rPr>
        <w:t>increases in general and administrative expenses.</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South Segment</w:t>
      </w:r>
    </w:p>
    <w:tbl>
      <w:tblPr>
        <w:tblW w:w="10205" w:type="dxa"/>
        <w:jc w:val="left"/>
        <w:tblInd w:w="0" w:type="dxa"/>
        <w:tblLayout w:type="fixed"/>
        <w:tblCellMar>
          <w:top w:w="28" w:type="dxa"/>
          <w:left w:w="28" w:type="dxa"/>
          <w:bottom w:w="28" w:type="dxa"/>
          <w:right w:w="28" w:type="dxa"/>
        </w:tblCellMar>
      </w:tblPr>
      <w:tblGrid>
        <w:gridCol w:w="565"/>
        <w:gridCol w:w="346"/>
        <w:gridCol w:w="347"/>
        <w:gridCol w:w="271"/>
        <w:gridCol w:w="253"/>
        <w:gridCol w:w="338"/>
        <w:gridCol w:w="143"/>
        <w:gridCol w:w="143"/>
        <w:gridCol w:w="143"/>
        <w:gridCol w:w="271"/>
        <w:gridCol w:w="253"/>
        <w:gridCol w:w="338"/>
        <w:gridCol w:w="109"/>
        <w:gridCol w:w="109"/>
        <w:gridCol w:w="109"/>
        <w:gridCol w:w="196"/>
        <w:gridCol w:w="405"/>
        <w:gridCol w:w="109"/>
        <w:gridCol w:w="109"/>
        <w:gridCol w:w="109"/>
        <w:gridCol w:w="109"/>
        <w:gridCol w:w="232"/>
        <w:gridCol w:w="234"/>
        <w:gridCol w:w="256"/>
        <w:gridCol w:w="109"/>
        <w:gridCol w:w="109"/>
        <w:gridCol w:w="109"/>
        <w:gridCol w:w="272"/>
        <w:gridCol w:w="249"/>
        <w:gridCol w:w="339"/>
        <w:gridCol w:w="142"/>
        <w:gridCol w:w="142"/>
        <w:gridCol w:w="142"/>
        <w:gridCol w:w="272"/>
        <w:gridCol w:w="249"/>
        <w:gridCol w:w="339"/>
        <w:gridCol w:w="109"/>
        <w:gridCol w:w="109"/>
        <w:gridCol w:w="109"/>
        <w:gridCol w:w="196"/>
        <w:gridCol w:w="495"/>
        <w:gridCol w:w="109"/>
        <w:gridCol w:w="109"/>
        <w:gridCol w:w="109"/>
        <w:gridCol w:w="109"/>
        <w:gridCol w:w="232"/>
        <w:gridCol w:w="234"/>
        <w:gridCol w:w="315"/>
      </w:tblGrid>
      <w:tr>
        <w:trPr/>
        <w:tc>
          <w:tcPr>
            <w:tcW w:w="5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South segment’s revenues for the three months ended September 30, 2025 increased by $2.9 million, compared to the prior year period, primarily due to an </w:t>
      </w:r>
      <w:r>
        <w:rPr>
          <w:rFonts w:ascii="Times New Roman;serif" w:hAnsi="Times New Roman;serif"/>
          <w:b w:val="false"/>
          <w:color w:val="000000"/>
          <w:sz w:val="20"/>
          <w:shd w:fill="FFFFFF" w:val="clear"/>
        </w:rPr>
        <w:t>increase in revenue from non-gaming amenities, partially offset by a decrease in gaming revenues at the South segment</w:t>
      </w:r>
      <w:r>
        <w:rPr>
          <w:color w:val="000000"/>
        </w:rPr>
        <w:t xml:space="preserve"> </w:t>
      </w:r>
      <w:r>
        <w:rPr>
          <w:rFonts w:ascii="Times New Roman;serif" w:hAnsi="Times New Roman;serif"/>
          <w:b w:val="false"/>
          <w:color w:val="000000"/>
          <w:sz w:val="20"/>
        </w:rPr>
        <w:t>properties impacted by new supply</w:t>
      </w:r>
      <w:r>
        <w:rPr>
          <w:rFonts w:ascii="Times New Roman;serif" w:hAnsi="Times New Roman;serif"/>
          <w:b w:val="false"/>
          <w:color w:val="000000"/>
          <w:sz w:val="20"/>
          <w:shd w:fill="FFFFFF" w:val="clear"/>
        </w:rPr>
        <w: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South segment’s revenues for the nine months ended September 30, 2025 decreased by $3.3 million, compared to the prior year period, primarily due to a decrease in gaming revenues as increased competition negatively impacted several of our properties, partially offset by an increase in food, beverage, hotel, and other revenues.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For the three and nine months ended September 30, 2025, the South segment’s Adjusted EBITDAR decreased $8.7 million and $25.5 million</w:t>
      </w:r>
      <w:r>
        <w:rPr>
          <w:rFonts w:ascii="Times New Roman;serif" w:hAnsi="Times New Roman;serif"/>
          <w:b w:val="false"/>
          <w:color w:val="000000"/>
          <w:sz w:val="20"/>
          <w:shd w:fill="FFFFFF" w:val="clear"/>
        </w:rPr>
        <w:t>, respectively,</w:t>
      </w:r>
      <w:r>
        <w:rPr>
          <w:color w:val="000000"/>
        </w:rPr>
        <w:t xml:space="preserve"> </w:t>
      </w:r>
      <w:r>
        <w:rPr>
          <w:rFonts w:ascii="Times New Roman;serif" w:hAnsi="Times New Roman;serif"/>
          <w:b w:val="false"/>
          <w:color w:val="000000"/>
          <w:sz w:val="20"/>
        </w:rPr>
        <w:t>and Adjusted EBITDAR margin decreased to 33.6% and 34.7%</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primarily due to the decreases in gaming revenues discussed above, and increased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West Segment</w:t>
      </w:r>
    </w:p>
    <w:tbl>
      <w:tblPr>
        <w:tblW w:w="10205" w:type="dxa"/>
        <w:jc w:val="left"/>
        <w:tblInd w:w="0" w:type="dxa"/>
        <w:tblLayout w:type="fixed"/>
        <w:tblCellMar>
          <w:top w:w="28" w:type="dxa"/>
          <w:left w:w="28" w:type="dxa"/>
          <w:bottom w:w="28" w:type="dxa"/>
          <w:right w:w="28" w:type="dxa"/>
        </w:tblCellMar>
      </w:tblPr>
      <w:tblGrid>
        <w:gridCol w:w="581"/>
        <w:gridCol w:w="367"/>
        <w:gridCol w:w="369"/>
        <w:gridCol w:w="280"/>
        <w:gridCol w:w="253"/>
        <w:gridCol w:w="352"/>
        <w:gridCol w:w="149"/>
        <w:gridCol w:w="149"/>
        <w:gridCol w:w="149"/>
        <w:gridCol w:w="280"/>
        <w:gridCol w:w="253"/>
        <w:gridCol w:w="352"/>
        <w:gridCol w:w="109"/>
        <w:gridCol w:w="109"/>
        <w:gridCol w:w="109"/>
        <w:gridCol w:w="196"/>
        <w:gridCol w:w="376"/>
        <w:gridCol w:w="109"/>
        <w:gridCol w:w="109"/>
        <w:gridCol w:w="109"/>
        <w:gridCol w:w="109"/>
        <w:gridCol w:w="203"/>
        <w:gridCol w:w="204"/>
        <w:gridCol w:w="256"/>
        <w:gridCol w:w="109"/>
        <w:gridCol w:w="109"/>
        <w:gridCol w:w="109"/>
        <w:gridCol w:w="281"/>
        <w:gridCol w:w="249"/>
        <w:gridCol w:w="351"/>
        <w:gridCol w:w="148"/>
        <w:gridCol w:w="148"/>
        <w:gridCol w:w="148"/>
        <w:gridCol w:w="281"/>
        <w:gridCol w:w="249"/>
        <w:gridCol w:w="351"/>
        <w:gridCol w:w="109"/>
        <w:gridCol w:w="109"/>
        <w:gridCol w:w="109"/>
        <w:gridCol w:w="196"/>
        <w:gridCol w:w="466"/>
        <w:gridCol w:w="109"/>
        <w:gridCol w:w="109"/>
        <w:gridCol w:w="109"/>
        <w:gridCol w:w="109"/>
        <w:gridCol w:w="203"/>
        <w:gridCol w:w="204"/>
        <w:gridCol w:w="308"/>
      </w:tblGrid>
      <w:tr>
        <w:trPr/>
        <w:tc>
          <w:tcPr>
            <w:tcW w:w="5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West segment’s revenues for the three and nine months ended September 30, 2025 increased by </w:t>
      </w:r>
      <w:r>
        <w:rPr>
          <w:rFonts w:ascii="Times New Roman;serif" w:hAnsi="Times New Roman;serif"/>
          <w:b w:val="false"/>
          <w:color w:val="000000"/>
          <w:sz w:val="20"/>
          <w:shd w:fill="FFFFFF" w:val="clear"/>
        </w:rPr>
        <w:t>$6.5 million and $9.8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respectively, </w:t>
      </w:r>
      <w:r>
        <w:rPr>
          <w:rFonts w:ascii="Times New Roman;serif" w:hAnsi="Times New Roman;serif"/>
          <w:b w:val="false"/>
          <w:color w:val="000000"/>
          <w:sz w:val="20"/>
        </w:rPr>
        <w:t xml:space="preserve">compared to the corresponding prior year periods, primarily due to </w:t>
      </w:r>
      <w:r>
        <w:rPr>
          <w:rFonts w:ascii="Times New Roman;serif" w:hAnsi="Times New Roman;serif"/>
          <w:b w:val="false"/>
          <w:color w:val="000000"/>
          <w:sz w:val="20"/>
          <w:shd w:fill="FFFFFF" w:val="clear"/>
        </w:rPr>
        <w:t xml:space="preserve">increased gaming revenues, partially offset by a </w:t>
      </w:r>
      <w:r>
        <w:rPr>
          <w:rFonts w:ascii="Times New Roman;serif" w:hAnsi="Times New Roman;serif"/>
          <w:b w:val="false"/>
          <w:color w:val="000000"/>
          <w:sz w:val="20"/>
        </w:rPr>
        <w:t>decrease in food, beverage, hotel, and other revenues.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nine months ended September 30, 2025, </w:t>
      </w:r>
      <w:r>
        <w:rPr>
          <w:rFonts w:ascii="Times New Roman;serif" w:hAnsi="Times New Roman;serif"/>
          <w:b w:val="false"/>
          <w:color w:val="000000"/>
          <w:sz w:val="20"/>
          <w:shd w:fill="FFFFFF" w:val="clear"/>
        </w:rPr>
        <w:t>the West segment’s Adjusted EBITDAR increased $3.6 million and $6.3 million, respectively,</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 xml:space="preserve">Adjusted EBITDAR margin increased to </w:t>
      </w:r>
      <w:r>
        <w:rPr>
          <w:rFonts w:ascii="Times New Roman;serif" w:hAnsi="Times New Roman;serif"/>
          <w:b w:val="false"/>
          <w:color w:val="000000"/>
          <w:sz w:val="20"/>
        </w:rPr>
        <w:t>36.9% and 37.0%, respectively,</w:t>
      </w:r>
      <w:r>
        <w:rPr>
          <w:color w:val="000000"/>
          <w:shd w:fill="FFFFFF" w:val="clear"/>
        </w:rPr>
        <w:t xml:space="preserve"> </w:t>
      </w:r>
      <w:r>
        <w:rPr>
          <w:rFonts w:ascii="Times New Roman;serif" w:hAnsi="Times New Roman;serif"/>
          <w:b w:val="false"/>
          <w:color w:val="000000"/>
          <w:sz w:val="20"/>
          <w:shd w:fill="FFFFFF" w:val="clear"/>
        </w:rPr>
        <w:t>primarily due to the increases in gaming revenues discussed above.</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Midwest Segment</w:t>
      </w:r>
    </w:p>
    <w:tbl>
      <w:tblPr>
        <w:tblW w:w="10205" w:type="dxa"/>
        <w:jc w:val="left"/>
        <w:tblInd w:w="0" w:type="dxa"/>
        <w:tblLayout w:type="fixed"/>
        <w:tblCellMar>
          <w:top w:w="28" w:type="dxa"/>
          <w:left w:w="28" w:type="dxa"/>
          <w:bottom w:w="28" w:type="dxa"/>
          <w:right w:w="28" w:type="dxa"/>
        </w:tblCellMar>
      </w:tblPr>
      <w:tblGrid>
        <w:gridCol w:w="580"/>
        <w:gridCol w:w="366"/>
        <w:gridCol w:w="367"/>
        <w:gridCol w:w="280"/>
        <w:gridCol w:w="253"/>
        <w:gridCol w:w="351"/>
        <w:gridCol w:w="148"/>
        <w:gridCol w:w="148"/>
        <w:gridCol w:w="148"/>
        <w:gridCol w:w="280"/>
        <w:gridCol w:w="253"/>
        <w:gridCol w:w="351"/>
        <w:gridCol w:w="109"/>
        <w:gridCol w:w="109"/>
        <w:gridCol w:w="109"/>
        <w:gridCol w:w="196"/>
        <w:gridCol w:w="376"/>
        <w:gridCol w:w="109"/>
        <w:gridCol w:w="109"/>
        <w:gridCol w:w="109"/>
        <w:gridCol w:w="109"/>
        <w:gridCol w:w="189"/>
        <w:gridCol w:w="189"/>
        <w:gridCol w:w="257"/>
        <w:gridCol w:w="109"/>
        <w:gridCol w:w="109"/>
        <w:gridCol w:w="109"/>
        <w:gridCol w:w="280"/>
        <w:gridCol w:w="249"/>
        <w:gridCol w:w="351"/>
        <w:gridCol w:w="147"/>
        <w:gridCol w:w="147"/>
        <w:gridCol w:w="147"/>
        <w:gridCol w:w="280"/>
        <w:gridCol w:w="249"/>
        <w:gridCol w:w="351"/>
        <w:gridCol w:w="109"/>
        <w:gridCol w:w="109"/>
        <w:gridCol w:w="109"/>
        <w:gridCol w:w="196"/>
        <w:gridCol w:w="497"/>
        <w:gridCol w:w="109"/>
        <w:gridCol w:w="109"/>
        <w:gridCol w:w="109"/>
        <w:gridCol w:w="109"/>
        <w:gridCol w:w="205"/>
        <w:gridCol w:w="206"/>
        <w:gridCol w:w="315"/>
      </w:tblGrid>
      <w:tr>
        <w:trPr/>
        <w:tc>
          <w:tcPr>
            <w:tcW w:w="5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Midwest segment’s revenues for the three months ended September 30, 2025 increased by </w:t>
      </w:r>
      <w:r>
        <w:rPr>
          <w:rFonts w:ascii="Times New Roman;serif" w:hAnsi="Times New Roman;serif"/>
          <w:b w:val="false"/>
          <w:color w:val="000000"/>
          <w:sz w:val="20"/>
          <w:shd w:fill="FFFFFF" w:val="clear"/>
        </w:rPr>
        <w:t xml:space="preserve">$6.1 million, </w:t>
      </w:r>
      <w:r>
        <w:rPr>
          <w:rFonts w:ascii="Times New Roman;serif" w:hAnsi="Times New Roman;serif"/>
          <w:b w:val="false"/>
          <w:color w:val="000000"/>
          <w:sz w:val="20"/>
        </w:rPr>
        <w:t>compared to the prior year period, primarily due to an increase in gaming revenues, particularly slots revenues.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Midwest segment’s revenues for the nine months ended September 30, 2025 decreased by </w:t>
      </w:r>
      <w:r>
        <w:rPr>
          <w:rFonts w:ascii="Times New Roman;serif" w:hAnsi="Times New Roman;serif"/>
          <w:b w:val="false"/>
          <w:color w:val="000000"/>
          <w:sz w:val="20"/>
          <w:shd w:fill="FFFFFF" w:val="clear"/>
        </w:rPr>
        <w:t xml:space="preserve">$3.3 million, </w:t>
      </w:r>
      <w:r>
        <w:rPr>
          <w:rFonts w:ascii="Times New Roman;serif" w:hAnsi="Times New Roman;serif"/>
          <w:b w:val="false"/>
          <w:color w:val="000000"/>
          <w:sz w:val="20"/>
        </w:rPr>
        <w:t>compared to the prior year period, primarily due to a decrease in gaming revenues as increased competition negatively impacted visitation at several of our properties. Severe weather events in the first quarter of 2025 also contributed to the decrease in visitation.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months ended September 30, 2025, </w:t>
      </w:r>
      <w:r>
        <w:rPr>
          <w:rFonts w:ascii="Times New Roman;serif" w:hAnsi="Times New Roman;serif"/>
          <w:b w:val="false"/>
          <w:color w:val="000000"/>
          <w:sz w:val="20"/>
          <w:shd w:fill="FFFFFF" w:val="clear"/>
        </w:rPr>
        <w:t xml:space="preserve">the Midwest segment’s Adjusted EBITDAR increased $0.6 million due to the increase in gaming revenues discussed above. </w:t>
      </w: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djusted EBITDAR margin decreased to </w:t>
      </w:r>
      <w:r>
        <w:rPr>
          <w:rFonts w:ascii="Times New Roman;serif" w:hAnsi="Times New Roman;serif"/>
          <w:b w:val="false"/>
          <w:color w:val="000000"/>
          <w:sz w:val="20"/>
        </w:rPr>
        <w:t xml:space="preserve">39.9% primarily </w:t>
      </w:r>
      <w:r>
        <w:rPr>
          <w:rFonts w:ascii="Times New Roman;serif" w:hAnsi="Times New Roman;serif"/>
          <w:b w:val="false"/>
          <w:color w:val="000000"/>
          <w:sz w:val="20"/>
          <w:shd w:fill="FFFFFF" w:val="clear"/>
        </w:rPr>
        <w:t>due to increased labor costs.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nine months ended September 30, 2025, </w:t>
      </w:r>
      <w:r>
        <w:rPr>
          <w:rFonts w:ascii="Times New Roman;serif" w:hAnsi="Times New Roman;serif"/>
          <w:b w:val="false"/>
          <w:color w:val="000000"/>
          <w:sz w:val="20"/>
          <w:shd w:fill="FFFFFF" w:val="clear"/>
        </w:rPr>
        <w:t xml:space="preserve">the Midwest segment’s Adjusted EBITDAR decreased $10.7 million and </w:t>
      </w: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djusted EBITDAR margin decreased to </w:t>
      </w:r>
      <w:r>
        <w:rPr>
          <w:rFonts w:ascii="Times New Roman;serif" w:hAnsi="Times New Roman;serif"/>
          <w:b w:val="false"/>
          <w:color w:val="000000"/>
          <w:sz w:val="20"/>
        </w:rPr>
        <w:t xml:space="preserve">40.4%, primarily </w:t>
      </w:r>
      <w:r>
        <w:rPr>
          <w:rFonts w:ascii="Times New Roman;serif" w:hAnsi="Times New Roman;serif"/>
          <w:b w:val="false"/>
          <w:color w:val="000000"/>
          <w:sz w:val="20"/>
          <w:shd w:fill="FFFFFF" w:val="clear"/>
        </w:rPr>
        <w:t>due to the decrease in gaming revenues discussed above, and increased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Interactive Segment</w:t>
      </w:r>
    </w:p>
    <w:tbl>
      <w:tblPr>
        <w:tblW w:w="10205" w:type="dxa"/>
        <w:jc w:val="left"/>
        <w:tblInd w:w="0" w:type="dxa"/>
        <w:tblLayout w:type="fixed"/>
        <w:tblCellMar>
          <w:top w:w="28" w:type="dxa"/>
          <w:left w:w="28" w:type="dxa"/>
          <w:bottom w:w="28" w:type="dxa"/>
          <w:right w:w="28" w:type="dxa"/>
        </w:tblCellMar>
      </w:tblPr>
      <w:tblGrid>
        <w:gridCol w:w="513"/>
        <w:gridCol w:w="319"/>
        <w:gridCol w:w="321"/>
        <w:gridCol w:w="267"/>
        <w:gridCol w:w="253"/>
        <w:gridCol w:w="316"/>
        <w:gridCol w:w="133"/>
        <w:gridCol w:w="133"/>
        <w:gridCol w:w="133"/>
        <w:gridCol w:w="267"/>
        <w:gridCol w:w="253"/>
        <w:gridCol w:w="316"/>
        <w:gridCol w:w="109"/>
        <w:gridCol w:w="109"/>
        <w:gridCol w:w="109"/>
        <w:gridCol w:w="196"/>
        <w:gridCol w:w="466"/>
        <w:gridCol w:w="109"/>
        <w:gridCol w:w="109"/>
        <w:gridCol w:w="109"/>
        <w:gridCol w:w="109"/>
        <w:gridCol w:w="244"/>
        <w:gridCol w:w="246"/>
        <w:gridCol w:w="256"/>
        <w:gridCol w:w="109"/>
        <w:gridCol w:w="109"/>
        <w:gridCol w:w="109"/>
        <w:gridCol w:w="269"/>
        <w:gridCol w:w="249"/>
        <w:gridCol w:w="367"/>
        <w:gridCol w:w="133"/>
        <w:gridCol w:w="133"/>
        <w:gridCol w:w="133"/>
        <w:gridCol w:w="269"/>
        <w:gridCol w:w="249"/>
        <w:gridCol w:w="367"/>
        <w:gridCol w:w="109"/>
        <w:gridCol w:w="109"/>
        <w:gridCol w:w="109"/>
        <w:gridCol w:w="196"/>
        <w:gridCol w:w="556"/>
        <w:gridCol w:w="109"/>
        <w:gridCol w:w="109"/>
        <w:gridCol w:w="109"/>
        <w:gridCol w:w="109"/>
        <w:gridCol w:w="244"/>
        <w:gridCol w:w="246"/>
        <w:gridCol w:w="309"/>
      </w:tblGrid>
      <w:tr>
        <w:trPr/>
        <w:tc>
          <w:tcPr>
            <w:tcW w:w="51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Food, beverage, hotel, and other </w:t>
            </w:r>
            <w:r>
              <w:rPr>
                <w:rFonts w:ascii="Times New Roman;serif" w:hAnsi="Times New Roman;serif"/>
                <w:b w:val="false"/>
                <w:color w:val="000000"/>
                <w:sz w:val="12"/>
              </w:rPr>
              <w:t>(1)</w:t>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505.5</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903.9</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 “Food, beverage, hotel, and other” only includes “other” revenue.</w:t>
      </w:r>
    </w:p>
    <w:p>
      <w:pPr>
        <w:pStyle w:val="TextBody"/>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segment’s revenues for the three and nine months ended September 30, 2025 increased by </w:t>
      </w:r>
      <w:r>
        <w:rPr>
          <w:rFonts w:ascii="Times New Roman;serif" w:hAnsi="Times New Roman;serif"/>
          <w:b w:val="false"/>
          <w:color w:val="000000"/>
          <w:sz w:val="20"/>
          <w:shd w:fill="FFFFFF" w:val="clear"/>
        </w:rPr>
        <w:t>$53.1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$219.0 million, respectively,</w:t>
      </w:r>
      <w:r>
        <w:rPr>
          <w:color w:val="000000"/>
        </w:rPr>
        <w:t xml:space="preserve"> </w:t>
      </w:r>
      <w:r>
        <w:rPr>
          <w:rFonts w:ascii="Times New Roman;serif" w:hAnsi="Times New Roman;serif"/>
          <w:b w:val="false"/>
          <w:color w:val="000000"/>
          <w:sz w:val="20"/>
        </w:rPr>
        <w:t xml:space="preserve">compared to the corresponding prior year periods, primarily due to an increase in gaming revenues and other revenues. Gaming revenues were positively impacted by growth in our </w:t>
      </w:r>
      <w:r>
        <w:rPr>
          <w:rFonts w:ascii="Times New Roman;serif" w:hAnsi="Times New Roman;serif"/>
          <w:b w:val="false"/>
          <w:color w:val="000000"/>
          <w:sz w:val="20"/>
          <w:shd w:fill="FFFFFF" w:val="clear"/>
        </w:rPr>
        <w:t>Hollywood-branded iCasino and theScore Bet iCasino apps, and higher slot product mix improving hold rates. O</w:t>
      </w:r>
      <w:r>
        <w:rPr>
          <w:rFonts w:ascii="Times New Roman;serif" w:hAnsi="Times New Roman;serif"/>
          <w:b w:val="false"/>
          <w:color w:val="000000"/>
          <w:sz w:val="20"/>
        </w:rPr>
        <w:t xml:space="preserve">nline sports betting </w:t>
      </w:r>
      <w:r>
        <w:rPr>
          <w:rFonts w:ascii="Times New Roman;serif" w:hAnsi="Times New Roman;serif"/>
          <w:b w:val="false"/>
          <w:color w:val="000000"/>
          <w:sz w:val="20"/>
          <w:shd w:fill="FFFFFF" w:val="clear"/>
        </w:rPr>
        <w:t xml:space="preserve">growth was </w:t>
      </w:r>
      <w:r>
        <w:rPr>
          <w:rFonts w:ascii="Times New Roman;serif" w:hAnsi="Times New Roman;serif"/>
          <w:b w:val="false"/>
          <w:color w:val="000000"/>
          <w:sz w:val="20"/>
        </w:rPr>
        <w:t xml:space="preserve">driven by ongoing product enhancements. </w:t>
      </w:r>
      <w:r>
        <w:rPr>
          <w:rFonts w:ascii="Times New Roman;serif" w:hAnsi="Times New Roman;serif"/>
          <w:b w:val="false"/>
          <w:color w:val="000000"/>
          <w:sz w:val="20"/>
          <w:shd w:fill="FFFFFF" w:val="clear"/>
        </w:rPr>
        <w:t>Other</w:t>
      </w:r>
      <w:r>
        <w:rPr>
          <w:color w:val="000000"/>
        </w:rPr>
        <w:t xml:space="preserve"> </w:t>
      </w:r>
      <w:r>
        <w:rPr>
          <w:rFonts w:ascii="Times New Roman;serif" w:hAnsi="Times New Roman;serif"/>
          <w:b w:val="false"/>
          <w:color w:val="000000"/>
          <w:sz w:val="20"/>
        </w:rPr>
        <w:t xml:space="preserve">revenues are inclusive of gaming tax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online sports betting and/or iCasino </w:t>
      </w:r>
      <w:r>
        <w:rPr>
          <w:rFonts w:ascii="Times New Roman;serif" w:hAnsi="Times New Roman;serif"/>
          <w:b w:val="false"/>
          <w:color w:val="000000"/>
          <w:sz w:val="20"/>
          <w:shd w:fill="FFFFFF" w:val="clear"/>
        </w:rPr>
        <w:t xml:space="preserve">partners for online sports betting and iCasino market access </w:t>
      </w:r>
      <w:r>
        <w:rPr>
          <w:rFonts w:ascii="Times New Roman;serif" w:hAnsi="Times New Roman;serif"/>
          <w:b w:val="false"/>
          <w:color w:val="000000"/>
          <w:sz w:val="20"/>
        </w:rPr>
        <w:t>of $139.5 million and $104.1 million for the three months ended</w:t>
      </w:r>
      <w:r>
        <w:rPr>
          <w:color w:val="000000"/>
          <w:shd w:fill="FFFFFF" w:val="clear"/>
        </w:rPr>
        <w:t xml:space="preserve"> </w:t>
      </w:r>
      <w:r>
        <w:rPr>
          <w:rFonts w:ascii="Times New Roman;serif" w:hAnsi="Times New Roman;serif"/>
          <w:b w:val="false"/>
          <w:color w:val="000000"/>
          <w:sz w:val="20"/>
        </w:rPr>
        <w:t>September 30, 2025 and 2024, respectively, and $405.6 million and $302.8 million for the nine months ended</w:t>
      </w:r>
      <w:r>
        <w:rPr>
          <w:color w:val="000000"/>
          <w:shd w:fill="FFFFFF" w:val="clear"/>
        </w:rPr>
        <w:t xml:space="preserve"> </w:t>
      </w:r>
      <w:r>
        <w:rPr>
          <w:rFonts w:ascii="Times New Roman;serif" w:hAnsi="Times New Roman;serif"/>
          <w:b w:val="false"/>
          <w:color w:val="000000"/>
          <w:sz w:val="20"/>
        </w:rPr>
        <w:t>September 30, 2025 and 2024, respectively.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nine months ended September 30, 2025, </w:t>
      </w:r>
      <w:r>
        <w:rPr>
          <w:rFonts w:ascii="Times New Roman;serif" w:hAnsi="Times New Roman;serif"/>
          <w:b w:val="false"/>
          <w:color w:val="000000"/>
          <w:sz w:val="20"/>
          <w:shd w:fill="FFFFFF" w:val="clear"/>
        </w:rPr>
        <w:t>the Interactive segment’s Adjusted EBITDA and Adjusted EBITDA margin increased primarily due to the increase in gaming revenues, discussed above, and a decrease in marketing expense.</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Other</w:t>
      </w:r>
    </w:p>
    <w:tbl>
      <w:tblPr>
        <w:tblW w:w="10205" w:type="dxa"/>
        <w:jc w:val="left"/>
        <w:tblInd w:w="0" w:type="dxa"/>
        <w:tblLayout w:type="fixed"/>
        <w:tblCellMar>
          <w:top w:w="28" w:type="dxa"/>
          <w:left w:w="28" w:type="dxa"/>
          <w:bottom w:w="28" w:type="dxa"/>
          <w:right w:w="28" w:type="dxa"/>
        </w:tblCellMar>
      </w:tblPr>
      <w:tblGrid>
        <w:gridCol w:w="543"/>
        <w:gridCol w:w="315"/>
        <w:gridCol w:w="316"/>
        <w:gridCol w:w="220"/>
        <w:gridCol w:w="558"/>
        <w:gridCol w:w="122"/>
        <w:gridCol w:w="122"/>
        <w:gridCol w:w="122"/>
        <w:gridCol w:w="122"/>
        <w:gridCol w:w="220"/>
        <w:gridCol w:w="558"/>
        <w:gridCol w:w="122"/>
        <w:gridCol w:w="109"/>
        <w:gridCol w:w="109"/>
        <w:gridCol w:w="109"/>
        <w:gridCol w:w="196"/>
        <w:gridCol w:w="402"/>
        <w:gridCol w:w="109"/>
        <w:gridCol w:w="109"/>
        <w:gridCol w:w="109"/>
        <w:gridCol w:w="109"/>
        <w:gridCol w:w="233"/>
        <w:gridCol w:w="233"/>
        <w:gridCol w:w="256"/>
        <w:gridCol w:w="109"/>
        <w:gridCol w:w="109"/>
        <w:gridCol w:w="109"/>
        <w:gridCol w:w="216"/>
        <w:gridCol w:w="648"/>
        <w:gridCol w:w="120"/>
        <w:gridCol w:w="120"/>
        <w:gridCol w:w="120"/>
        <w:gridCol w:w="120"/>
        <w:gridCol w:w="216"/>
        <w:gridCol w:w="548"/>
        <w:gridCol w:w="120"/>
        <w:gridCol w:w="109"/>
        <w:gridCol w:w="109"/>
        <w:gridCol w:w="109"/>
        <w:gridCol w:w="196"/>
        <w:gridCol w:w="492"/>
        <w:gridCol w:w="109"/>
        <w:gridCol w:w="109"/>
        <w:gridCol w:w="109"/>
        <w:gridCol w:w="109"/>
        <w:gridCol w:w="232"/>
        <w:gridCol w:w="234"/>
        <w:gridCol w:w="310"/>
      </w:tblGrid>
      <w:tr>
        <w:trPr/>
        <w:tc>
          <w:tcPr>
            <w:tcW w:w="5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Other consists of the Company’s stand-alone racing operations, as well as corporate overhead expenses, which primarily includes certain expenses such as payroll, professional f</w:t>
      </w:r>
      <w:r>
        <w:rPr>
          <w:rFonts w:ascii="Times New Roman;serif" w:hAnsi="Times New Roman;serif"/>
          <w:b w:val="false"/>
          <w:color w:val="000000"/>
          <w:sz w:val="20"/>
        </w:rPr>
        <w:t>ees, travel expenses, and other general and administrative expenses that do not directly relate to or have not otherwise been allocated. Revenues for the three months ended September 30, 2025 remained relatively flat compared to the prior year period. Revenues for the nine months ended September 30, 2025 decreased slightly compared to the prior year period, primarily due to fluctuations in racing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Corporate overhead expenses were $34.0 million and $29.1 million for the three months ended September 30, 2025 and 2024, respectively, and $108.7 million and $78.5 million for the nine months ended September 30, 2025 and 2024, respectively. Corporate overhead expenses for the three and nine months ended September 30, 2025 include $3.9 million and $21.0 million, respectively, of legal and advisory costs related to activist activity in connection with our 2025 annual meeting of shareholders.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Adjusted EBITDAR for the three and nine months ended September 30, 2025 primarily relate to increased general and administrative costs, inclusive of the $3.9 million and $21.0 million, respectively, of legal and advisory costs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Reportable Segment Measures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Non-GAAP Financial Measure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Use and Definitions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GAAP financial measures, management uses Consolidated Adjusted EBITDA as a non-GAAP financial measure. This non-GAAP financial measure should not be considered a substitute for, nor superior to, financial results and measures determined or calculated in accordance with GAAP. This non-GAAP financial measure is not calculated in the same manner by all companies and, accordingly, may not be an appropriate measure of comparing performance among different companies.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Reconciliation of GAAP Financial Measures to Non-GAAP Financial Measure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 reconciliation of net loss, which is determined in accordance with GAAP, to Consolidated Adjusted EBITDA, which is a non-GAAP financial measure:</w:t>
      </w:r>
    </w:p>
    <w:tbl>
      <w:tblPr>
        <w:tblW w:w="10205" w:type="dxa"/>
        <w:jc w:val="left"/>
        <w:tblInd w:w="0" w:type="dxa"/>
        <w:tblLayout w:type="fixed"/>
        <w:tblCellMar>
          <w:top w:w="28" w:type="dxa"/>
          <w:left w:w="28" w:type="dxa"/>
          <w:bottom w:w="28" w:type="dxa"/>
          <w:right w:w="28" w:type="dxa"/>
        </w:tblCellMar>
      </w:tblPr>
      <w:tblGrid>
        <w:gridCol w:w="1323"/>
        <w:gridCol w:w="1097"/>
        <w:gridCol w:w="1103"/>
        <w:gridCol w:w="527"/>
        <w:gridCol w:w="318"/>
        <w:gridCol w:w="308"/>
        <w:gridCol w:w="288"/>
        <w:gridCol w:w="288"/>
        <w:gridCol w:w="288"/>
        <w:gridCol w:w="527"/>
        <w:gridCol w:w="318"/>
        <w:gridCol w:w="300"/>
        <w:gridCol w:w="109"/>
        <w:gridCol w:w="109"/>
        <w:gridCol w:w="109"/>
        <w:gridCol w:w="279"/>
        <w:gridCol w:w="893"/>
        <w:gridCol w:w="155"/>
        <w:gridCol w:w="155"/>
        <w:gridCol w:w="155"/>
        <w:gridCol w:w="155"/>
        <w:gridCol w:w="279"/>
        <w:gridCol w:w="893"/>
        <w:gridCol w:w="229"/>
      </w:tblGrid>
      <w:tr>
        <w:trPr/>
        <w:tc>
          <w:tcPr>
            <w:tcW w:w="132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(865.1)</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REIT transaction, net</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1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Cash-settled stock-based award variance </w:t>
            </w:r>
            <w:r>
              <w:rPr>
                <w:rFonts w:ascii="Times New Roman;serif" w:hAnsi="Times New Roman;serif"/>
                <w:b w:val="false"/>
                <w:color w:val="000000"/>
                <w:sz w:val="12"/>
              </w:rPr>
              <w:t>(1)(2)</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(gain) on disposal of assets </w:t>
            </w:r>
            <w:r>
              <w:rPr>
                <w:rFonts w:ascii="Times New Roman;serif" w:hAnsi="Times New Roman;serif"/>
                <w:b w:val="false"/>
                <w:color w:val="000000"/>
                <w:sz w:val="12"/>
              </w:rPr>
              <w:t>(1)</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Pre-opening expenses </w:t>
            </w:r>
            <w:r>
              <w:rPr>
                <w:rFonts w:ascii="Times New Roman;serif" w:hAnsi="Times New Roman;serif"/>
                <w:b w:val="false"/>
                <w:color w:val="000000"/>
                <w:sz w:val="12"/>
              </w:rPr>
              <w:t>(1)</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 losses </w:t>
            </w:r>
            <w:r>
              <w:rPr>
                <w:rFonts w:ascii="Times New Roman;serif" w:hAnsi="Times New Roman;serif"/>
                <w:b w:val="false"/>
                <w:color w:val="000000"/>
                <w:sz w:val="12"/>
              </w:rPr>
              <w:t>(3)</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Non-operating items of equity method investments </w:t>
            </w:r>
            <w:r>
              <w:rPr>
                <w:rFonts w:ascii="Times New Roman;serif" w:hAnsi="Times New Roman;serif"/>
                <w:b w:val="false"/>
                <w:color w:val="000000"/>
                <w:sz w:val="12"/>
              </w:rPr>
              <w:t>(4)</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expenses </w:t>
            </w:r>
            <w:r>
              <w:rPr>
                <w:rFonts w:ascii="Times New Roman;serif" w:hAnsi="Times New Roman;serif"/>
                <w:b w:val="false"/>
                <w:color w:val="000000"/>
                <w:sz w:val="12"/>
              </w:rPr>
              <w:t>(1)</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Consolidated Adjusted EBITDA</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8"/>
        </w:rPr>
        <w:t>(</w:t>
      </w:r>
      <w:r>
        <w:rPr>
          <w:rFonts w:ascii="Times New Roman;serif" w:hAnsi="Times New Roman;serif"/>
          <w:b w:val="false"/>
          <w:color w:val="000000"/>
          <w:sz w:val="16"/>
        </w:rPr>
        <w:t>1)    These items are included in “General and administrative” within the unaudited Consolidated Statements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    Includes impairment charges of $15.0 million in the Midwest segment and $825.0 million in the Interactive segment. See </w:t>
      </w:r>
      <w:hyperlink w:anchor="i92f572135b0b478ca136af16d332df4a_79">
        <w:r>
          <w:rPr>
            <w:rStyle w:val="InternetLink"/>
            <w:rFonts w:ascii="Times New Roman;serif" w:hAnsi="Times New Roman;serif"/>
            <w:b w:val="false"/>
            <w:color w:val="0000FF"/>
            <w:sz w:val="16"/>
            <w:u w:val="single"/>
          </w:rPr>
          <w:t>Note 5, “Goodwill and Other Intangible Assets.”</w:t>
        </w:r>
      </w:hyperlink>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Consists primarily of depreciation expense associated with our Kansas Entertainment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 We currently believe that our operating cash flow and other sources of liquidity, as described herein, will be sufficient to meet our liquidity needs on a short and long-term basis.</w:t>
      </w:r>
    </w:p>
    <w:tbl>
      <w:tblPr>
        <w:tblW w:w="9630" w:type="dxa"/>
        <w:jc w:val="left"/>
        <w:tblInd w:w="0" w:type="dxa"/>
        <w:tblLayout w:type="fixed"/>
        <w:tblCellMar>
          <w:top w:w="28" w:type="dxa"/>
          <w:left w:w="28" w:type="dxa"/>
          <w:bottom w:w="28" w:type="dxa"/>
          <w:right w:w="28" w:type="dxa"/>
        </w:tblCellMar>
      </w:tblPr>
      <w:tblGrid>
        <w:gridCol w:w="1257"/>
        <w:gridCol w:w="1102"/>
        <w:gridCol w:w="1106"/>
        <w:gridCol w:w="109"/>
        <w:gridCol w:w="320"/>
        <w:gridCol w:w="1050"/>
        <w:gridCol w:w="165"/>
        <w:gridCol w:w="165"/>
        <w:gridCol w:w="165"/>
        <w:gridCol w:w="165"/>
        <w:gridCol w:w="320"/>
        <w:gridCol w:w="1050"/>
        <w:gridCol w:w="165"/>
        <w:gridCol w:w="109"/>
        <w:gridCol w:w="109"/>
        <w:gridCol w:w="109"/>
        <w:gridCol w:w="211"/>
        <w:gridCol w:w="616"/>
        <w:gridCol w:w="109"/>
        <w:gridCol w:w="109"/>
        <w:gridCol w:w="109"/>
        <w:gridCol w:w="109"/>
        <w:gridCol w:w="291"/>
        <w:gridCol w:w="294"/>
        <w:gridCol w:w="316"/>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Trends in our operating cash flows tend to follow trends in operating loss, excluding non-cash charges, but can be affected by changes in working capital, the timing of significant interest payments, tax payments or refunds, and distributions from unconsolidated affiliates. Net cash provided by operating activities increased by $144.6 million for the nine months ended September 30, 2025, primarily due to an increase in our reportable segments’ Adjusted EBITDAR.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nine months ended September 30, 2025 and September 30, 2024, was $303.3 million and $312.7 million, respectively, and primarily related to capital expenditures of $457.3 million and $261.7 million, respectively. Cash used in investing activities during the nine months ended September 30, 2025 was partially offset by the receipt of the full $130.0 million in committed funding from GLPI for the sale-and-lease back of real estate assets of the new Joliet facility, as discussed below.</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Capital expenditures are accounted for as either project capital (new facilities or expansions) or maintenance (replacement) which is inclusive of projects such as our retail sportsbooks, our cashless, cardless and contactless technology and hotel renovations. Cash provided by operating activities, as well as cash available under our Amended Revolving Credit Facility, was available to fund our capital expenditures for the nine months ended September 30, 2025 and 2024, as applicable.</w:t>
      </w:r>
    </w:p>
    <w:p>
      <w:pPr>
        <w:pStyle w:val="TextBody"/>
        <w:bidi w:val="0"/>
        <w:spacing w:lineRule="auto" w:line="288" w:before="0" w:after="200"/>
        <w:ind w:left="0" w:right="0" w:firstLine="360"/>
        <w:jc w:val="left"/>
        <w:rPr/>
      </w:pPr>
      <w:r>
        <w:rPr>
          <w:rFonts w:ascii="Times New Roman;serif" w:hAnsi="Times New Roman;serif"/>
          <w:b w:val="false"/>
          <w:color w:val="000000"/>
          <w:sz w:val="20"/>
        </w:rPr>
        <w:t>For the year ending December 31, 2025, we anticipate capi</w:t>
      </w:r>
      <w:r>
        <w:rPr>
          <w:rFonts w:ascii="Times New Roman;serif" w:hAnsi="Times New Roman;serif"/>
          <w:b w:val="false"/>
          <w:color w:val="000000"/>
          <w:sz w:val="20"/>
          <w:shd w:fill="FFFFFF" w:val="clear"/>
        </w:rPr>
        <w:t xml:space="preserve">tal expenditures of approximately $255.0 million, </w:t>
      </w:r>
      <w:r>
        <w:rPr>
          <w:rFonts w:ascii="Times New Roman;serif" w:hAnsi="Times New Roman;serif"/>
          <w:b w:val="false"/>
          <w:color w:val="000000"/>
          <w:sz w:val="20"/>
        </w:rPr>
        <w:t>inclusive of</w:t>
      </w:r>
      <w:r>
        <w:rPr>
          <w:color w:val="000000"/>
          <w:shd w:fill="FFFFFF" w:val="clear"/>
        </w:rPr>
        <w:t xml:space="preserve"> </w:t>
      </w:r>
      <w:r>
        <w:rPr>
          <w:rFonts w:ascii="Times New Roman;serif" w:hAnsi="Times New Roman;serif"/>
          <w:b w:val="false"/>
          <w:color w:val="000000"/>
          <w:sz w:val="20"/>
          <w:shd w:fill="FFFFFF" w:val="clear"/>
        </w:rPr>
        <w:t xml:space="preserve">capital expenditures required under our Triple Net Leases, which require us to spend a specified percentage of total revenues, and capital expenditures of $133.2 million incurred during the </w:t>
      </w:r>
      <w:r>
        <w:rPr>
          <w:rFonts w:ascii="Times New Roman;serif" w:hAnsi="Times New Roman;serif"/>
          <w:b w:val="false"/>
          <w:color w:val="000000"/>
          <w:sz w:val="20"/>
        </w:rPr>
        <w:t>nine months ended</w:t>
      </w:r>
      <w:r>
        <w:rPr>
          <w:color w:val="000000"/>
          <w:shd w:fill="FFFFFF" w:val="clear"/>
        </w:rPr>
        <w:t xml:space="preserve"> </w:t>
      </w:r>
      <w:r>
        <w:rPr>
          <w:rFonts w:ascii="Times New Roman;serif" w:hAnsi="Times New Roman;serif"/>
          <w:b w:val="false"/>
          <w:color w:val="000000"/>
          <w:sz w:val="20"/>
          <w:shd w:fill="FFFFFF" w:val="clear"/>
        </w:rPr>
        <w:t xml:space="preserve">September 30, 2025. Additionally, </w:t>
      </w:r>
      <w:r>
        <w:rPr>
          <w:rFonts w:ascii="Times New Roman;serif" w:hAnsi="Times New Roman;serif"/>
          <w:b w:val="false"/>
          <w:color w:val="000000"/>
          <w:sz w:val="20"/>
        </w:rPr>
        <w:t>f</w:t>
      </w:r>
      <w:r>
        <w:rPr>
          <w:rFonts w:ascii="Times New Roman;serif" w:hAnsi="Times New Roman;serif"/>
          <w:b w:val="false"/>
          <w:color w:val="000000"/>
          <w:sz w:val="20"/>
          <w:shd w:fill="FFFFFF" w:val="clear"/>
        </w:rPr>
        <w:t xml:space="preserve">or the year ending December 31,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we anticipate capital project expenditures of</w:t>
      </w:r>
      <w:r>
        <w:rPr>
          <w:color w:val="000000"/>
        </w:rPr>
        <w:t xml:space="preserve"> </w:t>
      </w:r>
      <w:r>
        <w:rPr>
          <w:rFonts w:ascii="Times New Roman;serif" w:hAnsi="Times New Roman;serif"/>
          <w:b w:val="false"/>
          <w:color w:val="000000"/>
          <w:sz w:val="20"/>
        </w:rPr>
        <w:t>$430.0 million,</w:t>
      </w:r>
      <w:r>
        <w:rPr>
          <w:color w:val="000000"/>
          <w:shd w:fill="FFFFFF" w:val="clear"/>
        </w:rPr>
        <w:t xml:space="preserve"> </w:t>
      </w:r>
      <w:r>
        <w:rPr>
          <w:rFonts w:ascii="Times New Roman;serif" w:hAnsi="Times New Roman;serif"/>
          <w:b w:val="false"/>
          <w:color w:val="000000"/>
          <w:sz w:val="20"/>
          <w:shd w:fill="FFFFFF" w:val="clear"/>
        </w:rPr>
        <w:t xml:space="preserve">the majority of which are </w:t>
      </w:r>
      <w:r>
        <w:rPr>
          <w:rFonts w:ascii="Times New Roman;serif" w:hAnsi="Times New Roman;serif"/>
          <w:b w:val="false"/>
          <w:color w:val="000000"/>
          <w:sz w:val="20"/>
        </w:rPr>
        <w:t xml:space="preserve">in connection with the PENN Development Projects pursuant to our Master Development Agreement with GLPI (as described in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in the notes to the unaudited Consolidated Financial Statements). During the nine months ended September 30, 2025, we incurred capital expenditures of $324.1 million primarily in connection with the PENN Development Projects. The Master Development Agreement provides that GLPI will fund up to $225.0 million for the Aurora Project and, upon PENN’s request, up to $130.0 million for the Joliet Project and up to $220.0 million in the aggregate for the Columbus Project and the M Resort Project, in accordance with certain terms and conditions set forth in the Master Development Agreement. The PENN Development Projects are all subject to necessary regulatory and other government approvals. On August 1, 2025, the Company received the full $130.0 million in committed funding from GLPI for the Joliet Project which opened on August 11, 2025, and on November 3, 2025, the Company received the full $150.0 million in committed funding from GLPI for the M Resort Project, of which the new hotel tower is expected to open on December 1, 2025. We have neither requested nor received any funding from GLPI for the Aurora Project or Columbus Project.</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financing activities totaled $129.0 million, primarily related to repurchases of $223.8 million of our Convertible Notes, repurchases of our common stock of $269.4 million, principal payments of $72.2 million on our finance leases and financing obligations, $27.1 million in payments on insurance financing, as well as $28.2 million in principal payments on long-term debt, partially offset by net proceeds from our revolving credit facility of $510.0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2024, net cash used in financing activities totaled $175.0 million, primarily related to principal payments of $68.0 million on our finance leases and financing obligations, $30.5 million in indemnification payments, $28.6 million in payments on insurance financing, as well as $28.2 million in principal payments on long-term debt. </w:t>
      </w:r>
    </w:p>
    <w:p>
      <w:pPr>
        <w:pStyle w:val="TextBody"/>
        <w:bidi w:val="0"/>
        <w:spacing w:lineRule="auto" w:line="288" w:before="0" w:after="200"/>
        <w:ind w:left="0" w:right="0" w:firstLine="360"/>
        <w:jc w:val="left"/>
        <w:rPr/>
      </w:pPr>
      <w:r>
        <w:rPr>
          <w:rFonts w:ascii="Times New Roman;serif" w:hAnsi="Times New Roman;serif"/>
          <w:b w:val="false"/>
          <w:color w:val="000000"/>
          <w:sz w:val="20"/>
        </w:rPr>
        <w:t>As of September 30, 2025, we had $2.9 billion in aggregate principal amount of indebtedness, including $1.9 billion outstanding under our Amended Credit Facilities, $400.0 million outstanding under our 5.625% Notes, $400.0 million outstanding under our 4.125% Notes, $106.7 million outstanding under our Convertible Notes, and $8.6 million outstanding in other long-term obligations. We ha</w:t>
      </w:r>
      <w:r>
        <w:rPr>
          <w:rFonts w:ascii="Times New Roman;serif" w:hAnsi="Times New Roman;serif"/>
          <w:b w:val="false"/>
          <w:color w:val="000000"/>
          <w:sz w:val="20"/>
          <w:shd w:fill="FFFFFF" w:val="clear"/>
        </w:rPr>
        <w:t xml:space="preserve">d $510.0 million drawn on our Amended Revolving Credit Facility. See definitions for (i) Amended Credit Facilities; (ii) 5.625% Notes; (iii) 4.125% Notes; and (iv) Amended Revolving Credit Facility in </w:t>
      </w:r>
      <w:hyperlink w:anchor="i92f572135b0b478ca136af16d332df4a_49">
        <w:r>
          <w:rPr>
            <w:rStyle w:val="InternetLink"/>
            <w:rFonts w:ascii="Times New Roman;serif" w:hAnsi="Times New Roman;serif"/>
            <w:b w:val="false"/>
            <w:color w:val="0000FF"/>
            <w:sz w:val="20"/>
            <w:u w:val="single"/>
            <w:shd w:fill="FFFFFF" w:val="clear"/>
          </w:rPr>
          <w:t>Note 6, “Long-Term Debt”</w:t>
        </w:r>
      </w:hyperlink>
      <w:r>
        <w:rPr>
          <w:color w:val="000000"/>
          <w:shd w:fill="FFFFFF" w:val="clear"/>
        </w:rPr>
        <w:t xml:space="preserve"> </w:t>
      </w:r>
      <w:r>
        <w:rPr>
          <w:rFonts w:ascii="Times New Roman;serif" w:hAnsi="Times New Roman;serif"/>
          <w:b w:val="false"/>
          <w:color w:val="000000"/>
          <w:sz w:val="20"/>
          <w:shd w:fill="FFFFFF" w:val="clear"/>
        </w:rPr>
        <w:t xml:space="preserve">in the notes to the unaudited Consolidated Financial Statements. </w:t>
      </w:r>
      <w:r>
        <w:rPr>
          <w:rFonts w:ascii="Times New Roman;serif" w:hAnsi="Times New Roman;serif"/>
          <w:b w:val="false"/>
          <w:color w:val="000000"/>
          <w:sz w:val="20"/>
        </w:rPr>
        <w:t>With the exception of the Convertible Notes, which we expect to refinance on a long-term basis, we have no other debt maturing before January 2027. As of November 5, 2025, the Company had $500.0 million in outstanding borrowings under its Amended Revolving Credit Facility, resulting in $476.1 million in available borrowing capacity.</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Credit Facilities, 5.625% Notes, and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If we are unable to meet our financial covenants or in the event of a cross-default, it could trigger an acceleration of payment terms.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92f572135b0b478ca136af16d332df4a_49">
        <w:r>
          <w:rPr>
            <w:rStyle w:val="InternetLink"/>
            <w:rFonts w:ascii="Times New Roman;serif" w:hAnsi="Times New Roman;serif"/>
            <w:b w:val="false"/>
            <w:color w:val="0000FF"/>
            <w:sz w:val="20"/>
            <w:u w:val="single"/>
          </w:rPr>
          <w:t>Note 6, “Long-Term Debt”</w:t>
        </w:r>
      </w:hyperlink>
      <w:r>
        <w:rPr>
          <w:color w:val="000000"/>
        </w:rPr>
        <w:t xml:space="preserve"> </w:t>
      </w:r>
      <w:r>
        <w:rPr>
          <w:rFonts w:ascii="Times New Roman;serif" w:hAnsi="Times New Roman;serif"/>
          <w:b w:val="false"/>
          <w:color w:val="000000"/>
          <w:sz w:val="20"/>
        </w:rPr>
        <w:t>in the notes to the unaudited Consolidated Financial Statements for additional information of the Company’s debt and other long-term obligations.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6, 2022, the Board of Directors approved a share repurchase authorization for $750.0 million (the “December 2022 Authorization”), which expires on December 31, 2025.</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October 30, 2025, the Board of Directors approved a new $750.0 million share repurchase program (the “October 2025 Authorization”), subject to the finalization of and entry into the Termination Agreement and the Investment Agreement Amendment, both of which are defined and discussed in </w:t>
      </w:r>
      <w:hyperlink w:anchor="i92f572135b0b478ca136af16d332df4a_58">
        <w:r>
          <w:rPr>
            <w:rStyle w:val="InternetLink"/>
            <w:rFonts w:ascii="Times New Roman;serif" w:hAnsi="Times New Roman;serif"/>
            <w:b w:val="false"/>
            <w:color w:val="0000FF"/>
            <w:sz w:val="20"/>
            <w:u w:val="single"/>
          </w:rPr>
          <w:t>Note 9, “Commitments and Contingencies”</w:t>
        </w:r>
      </w:hyperlink>
      <w:r>
        <w:rPr>
          <w:color w:val="000000"/>
        </w:rPr>
        <w:t xml:space="preserve"> </w:t>
      </w:r>
      <w:r>
        <w:rPr>
          <w:rFonts w:ascii="Times New Roman;serif" w:hAnsi="Times New Roman;serif"/>
          <w:b w:val="false"/>
          <w:color w:val="000000"/>
          <w:sz w:val="20"/>
        </w:rPr>
        <w:t>in the notes to the unaudited Consolidated Financial Statements. The October 2025 Authorization commences on January 1, 2026 and expires on December 31, 2028 and will take effect after the Company’s existing $750.0 million share repurchase program expires on December 31,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Repurchases by the Company are subject to available liquidity, general market and economic 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repurchased 15,214,631 shares of its common stock in open market transactions for $269.4 million at an average price of $17.70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the quarter ended September 30, 2025, the Company repurchased 4,876,200 shares of its common stock at an average price of $17.44 per share for an aggregate amount of $85.0 million. As of November 5, 2025, the remaining availability under our December 2022 Authorization was $395.4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of all repurchased shares is recorded as “Treasury stock” within the unaudited Consolidated Balance Sheets.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Factors Affecting Liquidity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ESPN BET Sportsbook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November 5, 2025, PENN and ESPN entered into the Termination Agreement, pursuant to which PENN’s exclusive right to use the ESPN BET trademark for online sports betting in the U.S. will terminate on December 1, 2025. The Termination Agreement provides that PENN will pay ESPN a total of $38.1 million in the fourth quarter of 2025 in respect of all remaining fees owed through the Termination Date. In addition, PENN has agreed to pay ESPN a total of $5.0 million following the Termination Date for traditional media to support theScore Bet and/or Hollywood iCasino offerings. The Termination Agreement provides that these payments will settle all outstanding payment obligations from PENN to ESPN under the Sportsbook Agreement. See </w:t>
      </w:r>
      <w:hyperlink w:anchor="i92f572135b0b478ca136af16d332df4a_58">
        <w:r>
          <w:rPr>
            <w:rStyle w:val="InternetLink"/>
            <w:rFonts w:ascii="Times New Roman;serif" w:hAnsi="Times New Roman;serif"/>
            <w:b w:val="false"/>
            <w:color w:val="000080"/>
            <w:sz w:val="20"/>
            <w:u w:val="single"/>
          </w:rPr>
          <w:t>N</w:t>
        </w:r>
      </w:hyperlink>
      <w:hyperlink w:anchor="i92f572135b0b478ca136af16d332df4a_58">
        <w:r>
          <w:rPr>
            <w:rStyle w:val="InternetLink"/>
            <w:rFonts w:ascii="Times New Roman;serif" w:hAnsi="Times New Roman;serif"/>
            <w:b w:val="false"/>
            <w:color w:val="000080"/>
            <w:sz w:val="20"/>
            <w:u w:val="single"/>
          </w:rPr>
          <w:t>ote</w:t>
        </w:r>
      </w:hyperlink>
      <w:hyperlink w:anchor="i92f572135b0b478ca136af16d332df4a_58">
        <w:r>
          <w:rPr>
            <w:rStyle w:val="InternetLink"/>
            <w:rFonts w:ascii="Times New Roman;serif" w:hAnsi="Times New Roman;serif"/>
            <w:b w:val="false"/>
            <w:color w:val="000080"/>
            <w:sz w:val="20"/>
            <w:u w:val="single"/>
          </w:rPr>
          <w:t xml:space="preserve"> </w:t>
        </w:r>
      </w:hyperlink>
      <w:hyperlink w:anchor="i92f572135b0b478ca136af16d332df4a_58">
        <w:r>
          <w:rPr>
            <w:rStyle w:val="InternetLink"/>
            <w:rFonts w:ascii="Times New Roman;serif" w:hAnsi="Times New Roman;serif"/>
            <w:b w:val="false"/>
            <w:color w:val="000080"/>
            <w:sz w:val="20"/>
            <w:u w:val="single"/>
          </w:rPr>
          <w:t>9</w:t>
        </w:r>
      </w:hyperlink>
      <w:hyperlink w:anchor="i92f572135b0b478ca136af16d332df4a_58">
        <w:r>
          <w:rPr>
            <w:rStyle w:val="InternetLink"/>
            <w:rFonts w:ascii="Times New Roman;serif" w:hAnsi="Times New Roman;serif"/>
            <w:b w:val="false"/>
            <w:color w:val="000080"/>
            <w:sz w:val="20"/>
            <w:u w:val="single"/>
          </w:rPr>
          <w:t>, “Commitments and Contingencies”</w:t>
        </w:r>
      </w:hyperlink>
      <w:r>
        <w:rPr>
          <w:color w:val="000000"/>
        </w:rPr>
        <w:t xml:space="preserve"> </w:t>
      </w:r>
      <w:r>
        <w:rPr>
          <w:rFonts w:ascii="Times New Roman;serif" w:hAnsi="Times New Roman;serif"/>
          <w:b w:val="false"/>
          <w:color w:val="000000"/>
          <w:sz w:val="20"/>
        </w:rPr>
        <w:t>in the notes to the unaudited Consolidated Financial Statements for additional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Triple Net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the real estate assets (i.e., land and buildings) used in our operations are subject to triple net master leases; the most significant of which are the Master Leases with GLPI. We refer to the Master Leases, the Margaritaville Lease, the Greektown Lease, and the Morgantown Lease, collectively, as our “Triple Net Leases.” The Company’s Triple Net Leases are accounted for as either operating leases, finance leases, or financing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February 21, 2023, as described in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 xml:space="preserve">in the notes to the unaudited Consolidated Financial Statements, the Company and GLPI entered into the Master Development Agreement.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Master Development Agreement contains additional rent (together with the 2023 Master Lease base rent, the “2023 Master Lease Rent”) equal to (i) 7.75% of any project funding received by PENN from GLPI for the Aurora Project; and (ii) a percentage, based on the then-current GLPI stock price, of any project funding received by PENN from GLPI for the Other Development Projects. The Master Development Agreement provides that GLPI will fund up to $225.0 million for the Aurora Project and, upon PENN’s request, up to $130.0 million for the Joliet Project, up to $150.0 million for the M Resort Project, and up to $70.0 million for the Columbus Project, in accordance with certain terms and conditions set forth in the Master Development Agreement. These funding obligations of GLPI expire on January 1, 2026, subject to the GLPI Funding Deadline Extension. Our new Joliet facility opened on August 11, 2025, the new hotel tower at the M Resort is expected to open December 1, 2025, and the new Aurora facility and the Columbus hotel tower are expected to open in the second quarter of 2026. The PENN Development Projects are all subject to necessary regulatory and other government approvals. As of November 5, 2025, the Company has received the full $130.0 million in committed funding from GLPI for the Joliet Project, as well as the full $150.0 million in committed funding from GLPI for the M Resort Project. We have neither requested nor received any funding from GLPI for the Aurora Project or Columbus Project.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sale-and-lease back of real estate assets related to the new Joliet facility to GLPI for $130.0 million and the new M Resort tower for $150.0 million resulted in increased annual rent under the 2023 Master Lease by $10.1 million, and $11.7 million, respectively. These increases are subject to annual escalation in accordance with the terms of the 2023 Master Lease.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our Triple Net Leases, in addition to lease payments for the real estate assets, we are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 Additionally, our Triple Net Leases are subject to annual escalators and periodic percentage rent resets, as applicable. See </w:t>
      </w:r>
      <w:hyperlink w:anchor="i92f572135b0b478ca136af16d332df4a_52">
        <w:r>
          <w:rPr>
            <w:rStyle w:val="InternetLink"/>
            <w:rFonts w:ascii="Times New Roman;serif" w:hAnsi="Times New Roman;serif"/>
            <w:b w:val="false"/>
            <w:color w:val="0000FF"/>
            <w:sz w:val="20"/>
            <w:u w:val="single"/>
          </w:rPr>
          <w:t>Note 7, “Leases”</w:t>
        </w:r>
      </w:hyperlink>
      <w:r>
        <w:rPr>
          <w:color w:val="000000"/>
        </w:rPr>
        <w:t xml:space="preserve"> </w:t>
      </w:r>
      <w:r>
        <w:rPr>
          <w:rFonts w:ascii="Times New Roman;serif" w:hAnsi="Times New Roman;serif"/>
          <w:b w:val="false"/>
          <w:color w:val="000000"/>
          <w:sz w:val="20"/>
        </w:rPr>
        <w:t>in the notes to the unaudited Consolidated Financial Statements for further discussion and disclosure related to the Company’s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to our REIT Landlords under Triple Net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payments made to our REIT Landlords, GLPI and VICI, were as follows:</w:t>
      </w:r>
    </w:p>
    <w:tbl>
      <w:tblPr>
        <w:tblW w:w="9618" w:type="dxa"/>
        <w:jc w:val="left"/>
        <w:tblInd w:w="0" w:type="dxa"/>
        <w:tblLayout w:type="fixed"/>
        <w:tblCellMar>
          <w:top w:w="28" w:type="dxa"/>
          <w:left w:w="28" w:type="dxa"/>
          <w:bottom w:w="28" w:type="dxa"/>
          <w:right w:w="28" w:type="dxa"/>
        </w:tblCellMar>
      </w:tblPr>
      <w:tblGrid>
        <w:gridCol w:w="739"/>
        <w:gridCol w:w="649"/>
        <w:gridCol w:w="651"/>
        <w:gridCol w:w="349"/>
        <w:gridCol w:w="1021"/>
        <w:gridCol w:w="180"/>
        <w:gridCol w:w="180"/>
        <w:gridCol w:w="180"/>
        <w:gridCol w:w="180"/>
        <w:gridCol w:w="349"/>
        <w:gridCol w:w="1021"/>
        <w:gridCol w:w="180"/>
        <w:gridCol w:w="109"/>
        <w:gridCol w:w="109"/>
        <w:gridCol w:w="109"/>
        <w:gridCol w:w="340"/>
        <w:gridCol w:w="992"/>
        <w:gridCol w:w="175"/>
        <w:gridCol w:w="175"/>
        <w:gridCol w:w="175"/>
        <w:gridCol w:w="175"/>
        <w:gridCol w:w="340"/>
        <w:gridCol w:w="992"/>
        <w:gridCol w:w="248"/>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Margaritaville Lease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Greektown Lease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Morgantown Lease </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i/>
          <w:color w:val="000000"/>
          <w:sz w:val="20"/>
        </w:rPr>
        <w:t>Outlook</w:t>
      </w:r>
      <w:r>
        <w:rPr>
          <w:color w:val="000000"/>
        </w:rPr>
        <w: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We cannot be certain: (i) of the impact of price inflation, changes in interest rates on the U.S. economy, changes in trade policies, economic downturns or uncertainty, and geopolitical uncertainty; (ii) that our anticipated earnings projections will be realized; (iii) that we will achieve the expected synergies from our acquisitions and joint ventures; and (iv) that future borrowings will be available under our Amended Credit Facilities or otherwise will be available in the credit markets to enable us to service our indebtedness or to make anticipated capital expenditures. We caution that the performance and trends seen across our portfolio may not continue. In addition, while we anticipate that a significant amount of our future growth would come through the pursuit of opportunities within other distribution channels, such as media, retail and online gaming; from acquisitions of gaming properties at reasonable valuations; greenfield projects; development projects; and jurisdictional expansions and property expansion in under-penetrated markets; there can be no assurance that this will be the case. If we consummate significant acquisitions in the future or undertake any significant property expansions, our cash requirements may increase significantly, and we may need to make additional borrowings or complete equity or debt financings to meet these requirements. See Part I, Item 1A. “Risk Factors” of the Company’s Form 10-K for the year ended December 31, 2024 for a discussion of additional risks, including risks related to the Company’s capital structure.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complete discussion of our critical accounting estimates is included in our Form 10-K for the year ended December 31, 2024. Other than discussed below, there have been no significant changes in our critical accounting estimates during the nine months ended September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Interactive goodwill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During the quarter ended September 30, 2025, management identified a goodwill impairment triggering event and, as such, performed a quantitative analysis. See </w:t>
      </w:r>
      <w:hyperlink w:anchor="i92f572135b0b478ca136af16d332df4a_79">
        <w:r>
          <w:rPr>
            <w:rStyle w:val="InternetLink"/>
            <w:rFonts w:ascii="Times New Roman;serif" w:hAnsi="Times New Roman;serif"/>
            <w:b w:val="false"/>
            <w:color w:val="0000FF"/>
            <w:sz w:val="20"/>
            <w:u w:val="single"/>
          </w:rPr>
          <w:t>Note 5, “Goodwill and Other Intangible Assets”</w:t>
        </w:r>
      </w:hyperlink>
      <w:r>
        <w:rPr>
          <w:color w:val="000000"/>
        </w:rPr>
        <w:t xml:space="preserve"> </w:t>
      </w:r>
      <w:r>
        <w:rPr>
          <w:rFonts w:ascii="Times New Roman;serif" w:hAnsi="Times New Roman;serif"/>
          <w:b w:val="false"/>
          <w:color w:val="000000"/>
          <w:sz w:val="20"/>
        </w:rPr>
        <w:t>in the notes to the unaudited Consolidated Financial Statements for further discussion.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our quantitative goodwill impairment test, an income approach, in which a discounted cash flow (“DCF”) model was utilized, and a market-based approach using guideline public company multiples of earnings before interest, taxes, depreciation, and amortization (“EBITDA”) from the segment’s peer group was utilized in order to estimate the fair market value of the reporting unit. The Company compared the fair value of the segment’s reporting unit to its carrying amount. As the carrying amount of the reporting unit exceeded the fair value, an impairment was recorded equal to the amount of the excess, which was $825.0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evaluation of goodwill requires the use of estimates about future operating results of the reporting unit to determine the estimated fair value of the reporting unit. The Company must make various assumptions and estimates in performing its impairment testing. The implied fair value includes estimates of future cash flows that are based on reasonable and supportable assumptions which represent the Company’s best estimates of the cash flows expected to result from the use of the assets including their eventual disposition. Significant assumptions utilized in the estimation of future cash flows for the reporting unit include forecasted revenues, forecasted operating expenses, the discount rate used in the valuation, and the terminal year EBITDA exit multiple. These significant assumptions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its overall value but may be to the detriment of the Interactive reporting unit.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our ongoing estimates of future cash flows are not met, we may have to record further impairment charges in future periods. Our estimates of cash flows are based on the current regulatory and economic climates, recent operating information, and budgets of the reporting unit. These estimates could be negatively impacted by changes in federal, state, provincial, or local regulations, economic downturns, or other events affecting our Interactive segment.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Forecasted cash flows can be significantly impacted by the local economies in which our Interactive reporting unit operates. Increases in unemployment rates, inflation and/or interest rates can also result in decreased customer activity and/or lower customer spend. Additionally, increases in gaming taxes approved by state and provincial regulatory bodies can negatively impact forecasted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goodwill at our Interactive reporting unit was subject to a sensitivity analysis to determine the potential additional impairment loss:</w:t>
      </w:r>
    </w:p>
    <w:tbl>
      <w:tblPr>
        <w:tblW w:w="9801" w:type="dxa"/>
        <w:jc w:val="left"/>
        <w:tblInd w:w="0" w:type="dxa"/>
        <w:tblLayout w:type="fixed"/>
        <w:tblCellMar>
          <w:top w:w="28" w:type="dxa"/>
          <w:left w:w="28" w:type="dxa"/>
          <w:bottom w:w="28" w:type="dxa"/>
          <w:right w:w="28" w:type="dxa"/>
        </w:tblCellMar>
      </w:tblPr>
      <w:tblGrid>
        <w:gridCol w:w="555"/>
        <w:gridCol w:w="486"/>
        <w:gridCol w:w="488"/>
        <w:gridCol w:w="539"/>
        <w:gridCol w:w="539"/>
        <w:gridCol w:w="541"/>
        <w:gridCol w:w="109"/>
        <w:gridCol w:w="109"/>
        <w:gridCol w:w="109"/>
        <w:gridCol w:w="320"/>
        <w:gridCol w:w="320"/>
        <w:gridCol w:w="800"/>
        <w:gridCol w:w="109"/>
        <w:gridCol w:w="109"/>
        <w:gridCol w:w="109"/>
        <w:gridCol w:w="1333"/>
        <w:gridCol w:w="1333"/>
        <w:gridCol w:w="1893"/>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impairment loss as a result of:</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Passing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 10% decrease in forecasted revenues and EBITDA</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Interactive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information with respect to new accounting pronouncements and the impact of these pronouncements on the unaudited Consolidated Financial Statements, see </w:t>
      </w:r>
      <w:hyperlink w:anchor="i92f572135b0b478ca136af16d332df4a_40">
        <w:r>
          <w:rPr>
            <w:rStyle w:val="InternetLink"/>
            <w:rFonts w:ascii="Times New Roman;serif" w:hAnsi="Times New Roman;serif"/>
            <w:b w:val="false"/>
            <w:color w:val="0000FF"/>
            <w:sz w:val="20"/>
            <w:u w:val="single"/>
          </w:rPr>
          <w:t>Note 3, “New Accounting Pronouncements”</w:t>
        </w:r>
      </w:hyperlink>
      <w:r>
        <w:rPr>
          <w:color w:val="000000"/>
        </w:rPr>
        <w:t xml:space="preserve"> </w:t>
      </w:r>
      <w:r>
        <w:rPr>
          <w:rFonts w:ascii="Times New Roman;serif" w:hAnsi="Times New Roman;serif"/>
          <w:b w:val="false"/>
          <w:color w:val="000000"/>
          <w:sz w:val="20"/>
        </w:rPr>
        <w:t>in the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00"/>
        <w:jc w:val="left"/>
        <w:rPr/>
      </w:pPr>
      <w:hyperlink w:anchor="i92f572135b0b478ca136af16d332df4a_7">
        <w:r>
          <w:rPr>
            <w:rStyle w:val="InternetLink"/>
            <w:rFonts w:ascii="Times New Roman;serif" w:hAnsi="Times New Roman;serif"/>
            <w:b w:val="false"/>
            <w:color w:val="000080"/>
            <w:sz w:val="20"/>
            <w:u w:val="single"/>
          </w:rPr>
          <w:t xml:space="preserve">Table of </w:t>
        </w:r>
      </w:hyperlink>
      <w:hyperlink w:anchor="i92f572135b0b478ca136af16d332df4a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IMPORTANT FACTORS REGARDING FORWARD-LOOKING STATEMENTS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the Company’s expectations regarding the rebranding of our U.S. OSB product to theScore Bet and the future success of theScore Bet, Hollywood iCasino and its other digital offerings; the Company’s expectations with respect to share repurchases; the Company’s expectations with respect to the integration and synergies related to the Company’s integration of theScore and the continued growth and monetization of the Company’s media business;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iCasino forward strategy and the rebranding of our U.S. online sports betting product to theScore Bet; our ability to attract and retain user adoption of theScore Bet and Hollywood iCasino apps in a rapidly evolving and highly competitive market; the impact of the termination of the Sportsbook Agreement;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the impact of activist shareholders; adverse outcomes of litigation involving the Company, including litigation brought by activist shareholders; our ability to maintain our gaming licenses and concessions and comply with applicable gaming law, changes in current laws, regulations, rules or other industry standards, and additional factors described in the Company’s Annual Report on Form 10-K for the year ended December 31, 2024,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Quarterly Report on Form 10-Q may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adverse changes in interest rates with respect to the short-term floating interest rates on borrowings under our Amended Credit Facilities. As of September 30, 2025, the Company’s Amended Credit Facilities had a gross outstanding balance of $1.9 billion, consisting of a $460.6 million Amended Term Loan A Facility, a $967.5 million Amended Term Loan B Facility, and $510.0 million of borrowings against our Amended Revolving Credit Facility. As of September 30, 2025, we had $466.1 million of available borrowing capacity under our Amended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as of September 30, 2025 about our long-term debt obligations that are sensitive to changes in interest rates, including the notional amounts maturing during the twelve month period presented and the related weighted-average interest rates by maturity dates.</w:t>
      </w:r>
    </w:p>
    <w:tbl>
      <w:tblPr>
        <w:tblW w:w="10205" w:type="dxa"/>
        <w:jc w:val="left"/>
        <w:tblInd w:w="0" w:type="dxa"/>
        <w:tblLayout w:type="fixed"/>
        <w:tblCellMar>
          <w:top w:w="28" w:type="dxa"/>
          <w:left w:w="28" w:type="dxa"/>
          <w:bottom w:w="28" w:type="dxa"/>
          <w:right w:w="28" w:type="dxa"/>
        </w:tblCellMar>
      </w:tblPr>
      <w:tblGrid>
        <w:gridCol w:w="422"/>
        <w:gridCol w:w="345"/>
        <w:gridCol w:w="347"/>
        <w:gridCol w:w="363"/>
        <w:gridCol w:w="256"/>
        <w:gridCol w:w="388"/>
        <w:gridCol w:w="109"/>
        <w:gridCol w:w="109"/>
        <w:gridCol w:w="109"/>
        <w:gridCol w:w="363"/>
        <w:gridCol w:w="256"/>
        <w:gridCol w:w="388"/>
        <w:gridCol w:w="109"/>
        <w:gridCol w:w="109"/>
        <w:gridCol w:w="109"/>
        <w:gridCol w:w="419"/>
        <w:gridCol w:w="200"/>
        <w:gridCol w:w="388"/>
        <w:gridCol w:w="109"/>
        <w:gridCol w:w="109"/>
        <w:gridCol w:w="109"/>
        <w:gridCol w:w="363"/>
        <w:gridCol w:w="256"/>
        <w:gridCol w:w="388"/>
        <w:gridCol w:w="109"/>
        <w:gridCol w:w="109"/>
        <w:gridCol w:w="109"/>
        <w:gridCol w:w="359"/>
        <w:gridCol w:w="279"/>
        <w:gridCol w:w="199"/>
        <w:gridCol w:w="109"/>
        <w:gridCol w:w="109"/>
        <w:gridCol w:w="109"/>
        <w:gridCol w:w="109"/>
        <w:gridCol w:w="109"/>
        <w:gridCol w:w="196"/>
        <w:gridCol w:w="691"/>
        <w:gridCol w:w="109"/>
        <w:gridCol w:w="109"/>
        <w:gridCol w:w="109"/>
        <w:gridCol w:w="109"/>
        <w:gridCol w:w="196"/>
        <w:gridCol w:w="691"/>
        <w:gridCol w:w="163"/>
      </w:tblGrid>
      <w:tr>
        <w:trPr/>
        <w:tc>
          <w:tcPr>
            <w:tcW w:w="42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10/1/25 - 9/30/26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10/1/26 - 9/30/27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10/1/27 - 9/30/28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10/1/28 - 9/30/29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10/1/29 - 9/30/30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Average interest rate </w:t>
            </w:r>
            <w:r>
              <w:rPr>
                <w:rFonts w:ascii="Times New Roman;serif" w:hAnsi="Times New Roman;serif"/>
                <w:b w:val="false"/>
                <w:color w:val="000000"/>
                <w:sz w:val="12"/>
              </w:rPr>
              <w:t>(1)</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(1)Estimated rate, reflective of forward SOFR as of September 30, 2025 plus the spread over SOFR applicable to variable-rate borrowing.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currency translation risk because the results of our international entities are reported in local currency, which we then translate to U.S. dollars for inclusion in the unaudited Consolidated Financial Statements. As a result, changes between the foreign exchange rates, in particular the Canadian dollar compared to the U.S. dollar, affect the amounts we record for our foreign assets, liabilities, revenues and expenses, and could have a negative effect on our financial results. The results of theScore are reported in Canadian dollars, which we then translate to U.S. dollars for inclusion in the unaudited Consolidated Financial Statements. We do not currently enter into hedging arrangements to minimize the impact of foreign currency fluctuations on our operations. For the three and nine months ended September 30, 2025, we incurred an unrealized foreign currency translation adjustment loss of $38.2 million and an unrealized foreign currency translation adjustment gain of $53.8 million, respectively, compared to an unrealized foreign currency translation adjustment gain of $18.6 million and an unrealized foreign currency translation adjustment loss of $36.9 million for the three and nine months ended September 30, 2024, respectively, as reported in “Foreign currency translation adjustment” within the unaudited Consolidated Statements of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defined in Rules 13a-15(e) and 15d-15(e) under the Securities Exchange Act of 1934, as amended (the “Exchange Act”)), as of September 30, 2025. Based on this evaluation, our principal executive officer and principal financial officer concluded that the Company’s disclosure controls and procedures were effective as of September 30, 2025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party to a number of other pending legal proceedings. Management does not expect that the outcome of such proceedings, either individually or in the aggregate, will have a material effect on our financial position, results of operations, or cash flows.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May 7, 2025, HG Vora Capital Management, LLC, HG Vora Special Opportunities Master Fund, Ltd., and Downriver Series LP – Segregated Portfolio C (collectively, the “HG Vora Plaintiffs”) filed a lawsuit in the U.S. District Court for the Eastern District of Pennsylvania against PENN, the members of PENN’s Board of Directors (the “Board”) and PENN’s former director Ronald Naples captioned </w:t>
      </w:r>
      <w:r>
        <w:rPr>
          <w:rFonts w:ascii="Times New Roman;serif" w:hAnsi="Times New Roman;serif"/>
          <w:b w:val="false"/>
          <w:i/>
          <w:color w:val="000000"/>
          <w:sz w:val="20"/>
        </w:rPr>
        <w:t>HG Vora Capital Management, LLC, et al. v. PENN Entertainment, Inc., et al., No. 5:25-cv-02313</w:t>
      </w:r>
      <w:r>
        <w:rPr>
          <w:color w:val="000000"/>
        </w:rPr>
        <w:t xml:space="preserve"> </w:t>
      </w:r>
      <w:r>
        <w:rPr>
          <w:rFonts w:ascii="Times New Roman;serif" w:hAnsi="Times New Roman;serif"/>
          <w:b w:val="false"/>
          <w:color w:val="000000"/>
          <w:sz w:val="20"/>
        </w:rPr>
        <w:t>(the “HG Vora Complaint” or the “HG Vora Action”). The HG Vora Complaint alleges, among other things, that PENN violated Pennsylvania’s Business Corporation Law and the individual defendants breached their fiduciary duties when the Board decreased the number of Class II directors from three to two (the “PENN Board Reduction”) and PENN violated federal securities laws by failing to abide by the universal proxy rules and making materially false and misleading statements in, and omissions from, its press release and its proxy materials filed with the SEC. The HG Vora Complaint seeks, among other things, a declaration that the PENN Board Reduction is invalid, injunctive relief ordering PENN to correct the alleged materially false and misleading statements in its proxy materials, injunctive relief allowing PENN shareholders an opportunity to elect three directors at our 2025 annual meeting of shareholders and damages in an amount to be determined at trial. The defendants believe the allegations set forth in the HG Vora Complaint are without merit. On May 8, 2025, the Board voted to constitute a special litigation committee to evaluate the HG Vora Plaintiffs’ claim that the individual defendants breached their fiduciary duties in connection with the PENN Board Reduction. On May 14, 2025, the HG Vora Plaintiffs filed a motion for an expedited trial and early case management conference. On May 19, 2025, the defendants filed a motion to stay the HG Vora Action for the time reasonably necessary to permit the special litigation committee to complete its investigation. On July 7, 2025, the court denied the HG Vora Plaintiffs’ motion in its entirety and partially granted the defendants’ motion to stay. The court stayed the breach of fiduciary duty claim for 30 days but declined to stay the other claims in the HG Vora Complaint. On July 28, 2025, the defendants filed a motion to dismiss the non-stayed claims in the HG Vora Complaint. In lieu of responding to the motion, the HG Vora Plaintiffs filed an amended complaint on August 18, 2025 that asserts the same causes of action as the original complaint. On August 20, 2025, the Court extended the stay of the breach of fiduciary duty claim for an additional 90 days. On September 18, 2025, the defendants filed a renewed motion to dismiss the non-stayed claims, which motion was fully briefed on October 30, 2025. On October 31, 2025, the defendants filed a motion to extend the stay of the breach of fiduciary duty claim for an additional 30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are risk factors that should be read in conjunction with the risk factors disclosed under Part I, Item 1A. “Risk Factors” in the Company’s Form 10-K for the year ended December 31, 2024 and Part II, Item 1A. “Risk Factors” in the Company’s subsequent Form 10-Q filings. Except as set forth below, there have been no material changes to the risk factors previously disclosed under Part I, Item 1A. “Risk Factors” in the Company’s Form 10-K for the year ended December 31,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Our business is sensitive to reductions in discretionary consumer spending, which may be adversely impacted by downturns in the economy and other factors outside of our control.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particularly sensitive to downturns in the economy and the associated impact on discretionary spending on leisure activities. As a regional operator, our in-person customers are predominately local, so we compete for more day-to-day discretionary spending as compared with destination spending. Decreases in discretionary consumer spending or changes in consumer preferences, including as a result of perceived or actual adverse economic conditions or inflation, changes in interest or unemployment rates, government shutdowns, tight credit conditions, increased housing, energy, food and travel costs, global hostilities, trade disputes, including the imposition of new or increased tariffs, political or social unrest, widespread illnesses, or other factors beyond our control, could adversely affect the gaming and entertainment industries and demand for our products and amenities, which could materially and adversely affect our business,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the U.S. has recently announced certain changes, and has proposed additional changes, in trade policies, including imposing significant tariffs on imports from other countries. These actions have resulted, and are expected to further result, in responsive actions by impacted countries. There continues to be significant uncertainty regarding the extent and duration of the tariffs, and any resulting economic downturns or market volatility may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Shareholder activists have, and could in the future, cause a disruption to, or have an adverse effect on, our business.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been subject to shareholder activism and may be subject to such activism in the future, which may include proxy solicitations, shareholder proposals or other actions by activists to effect changes to the Company or to assert influence on our Board of Directors and management. For example, in January 2025, HG Vora Capital Management, LLC (“HG Vora”) notified our Board that it had nominated three director candidates to stand for election at the Company’s 2025 annual meeting of shareholders, William Clifford, Johnny Hartnett, and Carlos Ruisanchez. Subsequently, the Company’s financial advisors held calls with HG Vora’s outside advisor, and the Board’s Nominating and Corporate Governance Committee reviewed HG Vora’s nominees in line with the Company’s normal evaluation procedures, including conducting thorough interviews with all nominees. Following this evaluation, the Board nominated Mr. Hartnett and Mr. Ruisanchez for election to the Board at the Company’s 2025 annual meeting of shareholders. HG Vora filed a definitive proxy statement with the SEC on May 12, 2025, and sought the election of three director candidates to the Board. At the Company’s 2025 annual meeting of shareholders held on June 17, 2025, our shareholders elected each of Mr. Hartnett and Mr. Ruisanchez to our Board of Directors.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Shareholder activism pursued against the Company has in the past, and may in the future, give rise to or result in, among other things: (a) increased costs, including expenses of third-party advisors, insurance, administrative expenses and other associated costs; (b) perceived uncertainties as to our future direction, which could result in reputational harm and the loss of potential business opportunities and could make it more difficult to attract, retain, or motivate qualified personnel, and strain relationships with investors, customers, suppliers, business partners, and regulators; (c) reduction or delay in our ability to effectively and timely execute our current business strategy and to implement new strategies; (d) diversion of the attention of our Board of Directors and management team; (e) potential litigation as a result of proposals by activist stockholders or proxy contests or matters relating thereto; (f) adverse implications from a gaming regulatory perspective, including those arising from a shareholder activist failing to comply with applicable gaming laws in connection with its investment in the Company or other actions that could have an adverse impact on our gaming licenses; and (g) fluctuations in the Company’s stock price based on temporary or speculative market perceptions or other factors that do not necessarily reflect the underlying fundamentals and prospects of our business. Any such shareholder activism could have an adverse effect on our business, financial condition, and results of operations.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PENN is the subject of litigation related to our 2025 annual meeting of shareholders, which could divert management time and resources, result in substantial costs, and have adverse implications from a gaming regulatory perspective.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May 7, 2025, the HG Vora Plaintiffs filed a lawsuit in the U.S. District Court for the Eastern District of Pennsylvania against PENN, the members of the Board and PENN’s former director Ronald Naples captioned </w:t>
      </w:r>
      <w:r>
        <w:rPr>
          <w:rFonts w:ascii="Times New Roman;serif" w:hAnsi="Times New Roman;serif"/>
          <w:b w:val="false"/>
          <w:i/>
          <w:color w:val="000000"/>
          <w:sz w:val="20"/>
        </w:rPr>
        <w:t>HG Vora Capital Management, LLC, et al. v. PENN Entertainment, Inc., et al., No. 5:25-cv-02313</w:t>
      </w:r>
      <w:r>
        <w:rPr>
          <w:rFonts w:ascii="Times New Roman;serif" w:hAnsi="Times New Roman;serif"/>
          <w:b w:val="false"/>
          <w:color w:val="000000"/>
          <w:sz w:val="20"/>
        </w:rPr>
        <w:t>. The HG Vora Complaint alleges, among other things, that PENN violated Pennsylvania’s Business Corporation Law and the individual defendants breached their fiduciary duties when the Board decreased the number of Class II directors from three to two and PENN violated federal securities laws by failing to abide by the universal proxy rules and making materially false and misleading statements in, and omissions from, its press release and its proxy materials filed with the SEC. The HG Vora Complaint seeks, among other things, a declaration that the PENN Board Reduction is invalid, injunctive relief ordering PENN to correct the alleged materially false and misleading statements in its proxy materials, injunctive relief allowing PENN shareholders an opportunity to elect three directors at PENN’s 2025 annual meeting of shareholders and damages in an amount to be determined at trial.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defendants believe the allegations set forth in the HG Vora Complaint are without merit. However, if the HG Vora Plaintiffs are successful in their lawsuit, PENN may be required to, among other things, increase the number of Class II directors to three and hold a special election at which shareholders could vote on a candidate for that seat and/or pay damages to the HG Vora Plaintiffs. In addition, defending against these claims can result in substantial costs and divert management time and resources. An adverse judgment could result in monetary damages, which could have a negative impact on PENN’s liquidity and financial condition, and could have adverse implications from a gaming regulatory perspective, including an adverse impact on our gaming licenses.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 termination of our partnership with ESPN could negatively impact our business, reputation, financial condition, and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5, 2025, PENN and ESPN entered into the Termination Agreement to terminate the Sportsbook Agreement, effective December 1, 2025. The Sportsbook Agreement, provided an exclusive license to use the ESPN BET trademark in the U.S. and certain marketing, content integration and promotional services. In connection with the termination, we will rebrand the existing ESPN BET sportsbook across all online platforms in the U.S. to theScore Bet. The loss of our exclusive license and the transition from ESPN BET to theScore Bet could adversely affect our ability to attract new users to our offerings and retain the business of existing users in a cost-effective manner. The rebranding has resulted in an impairment in our Interactive segment. There is no assurance that we will not incur future impairments, that we will realize the anticipated benefits of our rebranding initiative, and the termination of our partnership with ESPN could materially adversely affect our business, reputation, financial condition, and results of operations.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There can be no assurance that we will be able to compete effectively or generate sufficient returns from our online sports betting and iCasino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the jurisdictions in which we operate have legalized intra-state sports wagering and have established extensive state licensing and regulatory requirements governing such intra-state sports wagering. As of November 5, 2025, we offer online sports betting in 21 jurisdictions, and we expect to launch online sports betting in additional jurisdictions in the remainder of 2025 and 2026. Additionally, we have entered into agreements with other online sports betting and iCasino operators and may enter into additional agreements with strategic partners and other third-party vendors to provide market access in certain jurisdictions.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sports betting and iCasino operations compete, and will continue to compete, in a rapidly evolving and highly competitive market against an increasing number of competitors. There can be no assurance that we will realize the anticipated benefits of our online sports betting and iCasino operations. Further, the success of our sports betting and iCasino operations is dependent on a number of additional factors, many of which are beyond our control, including tax rates and license fees, our ability to gain market share, our ability to attract and retain customers, the success of our rebranding initiative across our online sports betting platforms in the U.S., the timeliness and viability of our products, our ability to compete with new entrants in the market, changes in consumer demographics and public tastes and preferences, unexpected sporting event cancellations or delays, and the availability and popularity of other forms of entertainment. There can be no assurance that our online sports betting and iCasino operations will be able to compete effectively or generate sufficient returns. These factors could cause the market price of our common stock to decline, and adversely impact our financial condition, results of operations and cash flows.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Our growth and success depend, in part, on the success of our strategic relationships with third parties.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relationships with sports leagues and teams, professional athletes and athlete organizations, advertisers, casinos, and other third parties, in order to attract users to our properties and online sportsbook and iCasino offerings. These relationships, along with providers of online services, search engines, social media, directories and other websites and e-commerce businesses, direct consumers to our offerings. In addition, many of the parties with whom we have advertising arrangements provide advertising services to our competitors. While we believe there are other third parties that could drive users to our offerings, adding or transitioning to them may disrupt our business and increase our costs. If any of our existing or future relationships fail to provide services to us in accordance with the terms of our arrangement, or at all, and we are not able to find suitable alternatives, this could increase the cost to attract consumers and adversely impact our business, financial condition, and results of operations. In addition, the termination of strategic relationships with third parties, or negative claims or publicity involving us or such third parties, could harm our reputation and brand image, which could adversely affect our ability to attract and retain users to our properties and online sportsbook and iCasino offerings.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under the sports betting and iCasino laws of certain jurisdictions, sports betting and iCasinos are limited to a finite number of retail operators, such as casinos, tribes or tracks, who own a “skin” or “skins” under that jurisdiction’s law. A “skin” is a legally authorized license from a gaming regulatory authority to offer sports betting or iCasino services provided by such a retail operator. The “skin” provides a market access opportunity for mobile operators to operate in the jurisdiction pending licensure and other required approvals by the jurisdiction’s gaming regulatory authority. In some of the jurisdictions in which we offer sports betting and iCasino, we currently rely on a casino, tribe, or track in order to get a “skin.” If we cannot establish, renew, or manage these relationships, our market access rights could terminate, and we would not be allowed to operate in those jurisdictions until we enter into new ones,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 growth of our Interactive segment will depend on our ability to attract and retain users, which may require investments in our online offerings, technology, and strategic marketing initiatives.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revenue growth in the future in our Interactive segment (inclusive of theScore Bet and Hollywood iCasino apps) will depend, in large part, upon our ability to attract new users to our offerings, retain existing users and reactivate inactive users in a cost-effective manner. Achieving growth in our community of users may require us to engage in sophisticated and costly sales and marketing and promotional efforts. There can be no assurance that we will realize the anticipated benefits of our investments in technology, products, service offerings and marketing initiatives. If new or existing competitors offer more attractive offerings or engage in marketing initiatives that are better received by customers, we may lose users or users may decrease their spending on our offerings.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used and expect to continue to use a variety of free and paid marketing channels, in combination with compelling offers and exciting games to achieve our objectives. For paid marketing, we may leverage a broad array of advertising channels, including television, radio, sports teams, social media influencers (brand ambassadors), social media platforms, such as Facebook, Instagram, Twitter and Snapchat, affiliates and paid and organic search, and other digital channels, such as mobile display. If the search engines on which we rely modify their algorithms, change their terms around online betting, if links to our apps or websites are not displayed prominently in online search results, if fewer users click through to the Apple App Store and Google Play Store or our websites, if our other digital marketing campaigns are not effective, or if the costs of attracting users using any of our current methods significantly increase, then our ability to efficiently attract new users could be reduced, our revenue could decline and our business, financial condition and results of operations could be harmed.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ability to both retain and increase the number of users of our offerings will depend on continued user adoption of theScore Bet and Hollywood iCasino apps, and online gaming in general. Growth in the online gaming industries and the level of demand for and market acceptance of our product offerings will be subject to a high degree of uncertainty. We cannot assure that consumer adoption of our product offerings will continue or exceed current growth rates, or that the industry will achieve more widespread acceptance.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as technological or regulatory standards change and we modify our platforms to comply with those standards, we may need users to take certain actions to continue playing, such as performing age verification checks or accepting new terms and conditions. Users may stop using our product offerings at any time, including if the quality of the user experience on our platforms, including our support capabilities in the event of a problem, does not meet their expectations or keep pace with the quality of the customer experience generally offered by competitive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total number of shares of our common stock that we repurchased during the third quarter of 2025, the average price paid per share, the number of shares that we repurchased as part of our share repurchase program, and the approximate dollar value of shares that still could have been repurchased at the end of the applicable fiscal period pursuant to our share repurchase program: </w:t>
      </w:r>
    </w:p>
    <w:tbl>
      <w:tblPr>
        <w:tblW w:w="10205" w:type="dxa"/>
        <w:jc w:val="left"/>
        <w:tblInd w:w="0" w:type="dxa"/>
        <w:tblLayout w:type="fixed"/>
        <w:tblCellMar>
          <w:top w:w="28" w:type="dxa"/>
          <w:left w:w="28" w:type="dxa"/>
          <w:bottom w:w="28" w:type="dxa"/>
          <w:right w:w="28" w:type="dxa"/>
        </w:tblCellMar>
      </w:tblPr>
      <w:tblGrid>
        <w:gridCol w:w="649"/>
        <w:gridCol w:w="395"/>
        <w:gridCol w:w="399"/>
        <w:gridCol w:w="109"/>
        <w:gridCol w:w="109"/>
        <w:gridCol w:w="109"/>
        <w:gridCol w:w="663"/>
        <w:gridCol w:w="460"/>
        <w:gridCol w:w="461"/>
        <w:gridCol w:w="109"/>
        <w:gridCol w:w="109"/>
        <w:gridCol w:w="109"/>
        <w:gridCol w:w="273"/>
        <w:gridCol w:w="774"/>
        <w:gridCol w:w="151"/>
        <w:gridCol w:w="109"/>
        <w:gridCol w:w="109"/>
        <w:gridCol w:w="109"/>
        <w:gridCol w:w="869"/>
        <w:gridCol w:w="713"/>
        <w:gridCol w:w="715"/>
        <w:gridCol w:w="109"/>
        <w:gridCol w:w="109"/>
        <w:gridCol w:w="109"/>
        <w:gridCol w:w="510"/>
        <w:gridCol w:w="1452"/>
        <w:gridCol w:w="413"/>
      </w:tblGrid>
      <w:tr>
        <w:trPr/>
        <w:tc>
          <w:tcPr>
            <w:tcW w:w="6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Average Price Paid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Program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Maximum Dollar Value of Shares that May Yet Be Purchased Under the Plans or Program </w:t>
            </w:r>
            <w:r>
              <w:rPr>
                <w:rFonts w:ascii="Times New Roman;serif" w:hAnsi="Times New Roman;serif"/>
                <w:b/>
                <w:color w:val="000000"/>
                <w:sz w:val="12"/>
              </w:rPr>
              <w:t>(2)</w:t>
            </w:r>
          </w:p>
        </w:tc>
      </w:tr>
      <w:tr>
        <w:trPr/>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126,611 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2,946,443 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2,928,639 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5,051,510 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5,036,643 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8,124,564 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7,965,282 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126,611, 17,804, and 14,867 shares withheld to pay taxes due upon the vesting of employee restricted stock for the months ended July 31, 2025, August 31, 2025, and September 30, 2025, respectively.</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(2)On December 6, 2022, our Board of Directors authorized the December 2022 Authorization for the repurchase of $750.0 million of our common stock from time to time on the open market or in privately negotiated transactions. We initiated share repurchases under the December 2022 Authorization in 2023. The December 2022 Authorization expires on December 31, 2025. Stock repurchases are funded using our available liquidity. The timing and amount of stock repurchases will depend on a variety of factors, including market conditions as well as corporate and regulatory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the Company’s directors or executive officers adopted, modified or terminated any contract, instruction or written plan for the purchase or sale of the Company’s securities that was intended to satisfy the affirmative defense conditions of Rule 10b5-1(c) or any “non-Rule 10b5-1 trading arrangement” as defined in Item 408(a) of Regulation S-K.</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Executive Employment Agreement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entered into a new Executive Employment agreement with its Executive Vice President – Operations, Todd George, on November 5, 2025. The Executive Agreement supersedes Mr. George’s prior executive agreement (scheduled to expire on January 1, 2026), is effective as of November 5, 2025, and terminates on January 1, 2029 (the “Term”) unless earlier terminated by either party. The Executive Agreement provides that Mr. George’s annual base salary will be $1.03 million, and his target annual bonus will be 125% of his base salary.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Mr. George’s employment is terminated without cause (as defined in the Executive Agreement), or Mr. George resigns for good reason (as defined in the Executive Agreement), or the Executive Agreement is not renewed at the end of the Term, Mr. George will be entitled to (i) severance payments equal to the sum of (a) two times his annual base salary and (b) one and one half times his target annual bonus (or two times his target annual bonus if the termination occurs during the twenty-four months following a change of control), and (ii) pro rata annual bonus for the fiscal year in which termination occurs.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receipt of any severance payments, Mr. George must execute a general release in favor of the Company and its affiliates.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Executive Agreement also contains customary confidentiality, non-competition and non-solicitation provisions. Mr. George has agreed not to disclose or use the Company’s confidential information. In addition, Mr. George has agreed not to compete with the Company for a period of (i) twelve months following the termination date if he is terminated in a manner in which no severance is paid or (ii) the twenty-four months following the termination date if he receives severance. Mr. George has agreed not to solicit or hire an executive or management level employee of the Company or its affiliates for a period of 18 months following termination.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of the material terms of the Executive Agreement described above is qualified in its entirety by reference to the Executive Agreement, a copy of which is attached hereto as Exhibit 10.2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0"/>
        <w:gridCol w:w="264"/>
        <w:gridCol w:w="266"/>
        <w:gridCol w:w="109"/>
        <w:gridCol w:w="109"/>
        <w:gridCol w:w="109"/>
        <w:gridCol w:w="2781"/>
        <w:gridCol w:w="2586"/>
        <w:gridCol w:w="3681"/>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Amendment No. 1 to Investment Agreement, dated as of November </w:t>
              </w:r>
            </w:hyperlink>
            <w:hyperlink r:id="rId3">
              <w:r>
                <w:rPr>
                  <w:rStyle w:val="InternetLink"/>
                  <w:rFonts w:ascii="Times New Roman;serif" w:hAnsi="Times New Roman;serif"/>
                  <w:b w:val="false"/>
                  <w:color w:val="000080"/>
                  <w:sz w:val="20"/>
                  <w:u w:val="single"/>
                </w:rPr>
                <w:t>5</w:t>
              </w:r>
            </w:hyperlink>
            <w:hyperlink r:id="rId4">
              <w:r>
                <w:rPr>
                  <w:rStyle w:val="InternetLink"/>
                  <w:rFonts w:ascii="Times New Roman;serif" w:hAnsi="Times New Roman;serif"/>
                  <w:b w:val="false"/>
                  <w:color w:val="000080"/>
                  <w:sz w:val="20"/>
                  <w:u w:val="single"/>
                </w:rPr>
                <w:t>, 2025, by and between PENN Entertainment, Inc. and ESPN, Inc</w:t>
              </w:r>
            </w:hyperlink>
            <w:hyperlink r:id="rId5">
              <w:r>
                <w:rPr>
                  <w:rStyle w:val="InternetLink"/>
                  <w:rFonts w:ascii="Times New Roman;serif" w:hAnsi="Times New Roman;serif"/>
                  <w:b w:val="false"/>
                  <w:color w:val="000080"/>
                  <w:sz w:val="20"/>
                  <w:u w:val="single"/>
                </w:rPr>
                <w:t>.</w:t>
              </w:r>
            </w:hyperlink>
            <w:hyperlink r:id="rId6">
              <w:r>
                <w:rPr>
                  <w:rStyle w:val="InternetLink"/>
                  <w:rFonts w:ascii="Times New Roman;serif" w:hAnsi="Times New Roman;serif"/>
                  <w:b w:val="false"/>
                  <w:color w:val="000080"/>
                  <w:sz w:val="20"/>
                  <w:u w:val="single"/>
                </w:rPr>
                <w:t xml:space="preserve"> </w:t>
              </w:r>
            </w:hyperlink>
            <w:hyperlink r:id="rId7">
              <w:r>
                <w:rPr>
                  <w:rStyle w:val="InternetLink"/>
                  <w:rFonts w:ascii="Times New Roman;serif" w:hAnsi="Times New Roman;serif"/>
                  <w:b w:val="false"/>
                  <w:color w:val="000080"/>
                  <w:sz w:val="20"/>
                  <w:u w:val="single"/>
                </w:rPr>
                <w:t>is</w:t>
              </w:r>
            </w:hyperlink>
            <w:hyperlink r:id="rId8">
              <w:r>
                <w:rPr>
                  <w:rStyle w:val="InternetLink"/>
                  <w:rFonts w:ascii="Times New Roman;serif" w:hAnsi="Times New Roman;serif"/>
                  <w:b w:val="false"/>
                  <w:color w:val="000080"/>
                  <w:sz w:val="20"/>
                  <w:u w:val="single"/>
                </w:rPr>
                <w:t xml:space="preserve"> hereby incorp</w:t>
              </w:r>
            </w:hyperlink>
            <w:hyperlink r:id="rId9">
              <w:r>
                <w:rPr>
                  <w:rStyle w:val="InternetLink"/>
                  <w:rFonts w:ascii="Times New Roman;serif" w:hAnsi="Times New Roman;serif"/>
                  <w:b w:val="false"/>
                  <w:color w:val="000080"/>
                  <w:sz w:val="20"/>
                  <w:u w:val="single"/>
                </w:rPr>
                <w:t>or</w:t>
              </w:r>
            </w:hyperlink>
            <w:hyperlink r:id="rId10">
              <w:r>
                <w:rPr>
                  <w:rStyle w:val="InternetLink"/>
                  <w:rFonts w:ascii="Times New Roman;serif" w:hAnsi="Times New Roman;serif"/>
                  <w:b w:val="false"/>
                  <w:color w:val="000080"/>
                  <w:sz w:val="20"/>
                  <w:u w:val="single"/>
                </w:rPr>
                <w:t>ated by reference to</w:t>
              </w:r>
            </w:hyperlink>
            <w:hyperlink r:id="rId11">
              <w:r>
                <w:rPr>
                  <w:rStyle w:val="InternetLink"/>
                  <w:rFonts w:ascii="Times New Roman;serif" w:hAnsi="Times New Roman;serif"/>
                  <w:b w:val="false"/>
                  <w:color w:val="000080"/>
                  <w:sz w:val="20"/>
                  <w:u w:val="single"/>
                </w:rPr>
                <w:t xml:space="preserve"> Exhibit 4.1 to the C</w:t>
              </w:r>
            </w:hyperlink>
            <w:hyperlink r:id="rId12">
              <w:r>
                <w:rPr>
                  <w:rStyle w:val="InternetLink"/>
                  <w:rFonts w:ascii="Times New Roman;serif" w:hAnsi="Times New Roman;serif"/>
                  <w:b w:val="false"/>
                  <w:color w:val="000080"/>
                  <w:sz w:val="20"/>
                  <w:u w:val="single"/>
                </w:rPr>
                <w:t>ompany</w:t>
              </w:r>
            </w:hyperlink>
            <w:hyperlink r:id="rId13">
              <w:r>
                <w:rPr>
                  <w:rStyle w:val="InternetLink"/>
                  <w:rFonts w:ascii="Times New Roman;serif" w:hAnsi="Times New Roman;serif"/>
                  <w:b w:val="false"/>
                  <w:color w:val="000080"/>
                  <w:sz w:val="20"/>
                  <w:u w:val="single"/>
                </w:rPr>
                <w:t>’</w:t>
              </w:r>
            </w:hyperlink>
            <w:hyperlink r:id="rId14">
              <w:r>
                <w:rPr>
                  <w:rStyle w:val="InternetLink"/>
                  <w:rFonts w:ascii="Times New Roman;serif" w:hAnsi="Times New Roman;serif"/>
                  <w:b w:val="false"/>
                  <w:color w:val="000080"/>
                  <w:sz w:val="20"/>
                  <w:u w:val="single"/>
                </w:rPr>
                <w:t xml:space="preserve">s Current Report on </w:t>
              </w:r>
            </w:hyperlink>
            <w:hyperlink r:id="rId15">
              <w:r>
                <w:rPr>
                  <w:rStyle w:val="InternetLink"/>
                  <w:rFonts w:ascii="Times New Roman;serif" w:hAnsi="Times New Roman;serif"/>
                  <w:b w:val="false"/>
                  <w:color w:val="000080"/>
                  <w:sz w:val="20"/>
                  <w:u w:val="single"/>
                </w:rPr>
                <w:t>For</w:t>
              </w:r>
            </w:hyperlink>
            <w:hyperlink r:id="rId16">
              <w:r>
                <w:rPr>
                  <w:rStyle w:val="InternetLink"/>
                  <w:rFonts w:ascii="Times New Roman;serif" w:hAnsi="Times New Roman;serif"/>
                  <w:b w:val="false"/>
                  <w:color w:val="000080"/>
                  <w:sz w:val="20"/>
                  <w:u w:val="single"/>
                </w:rPr>
                <w:t xml:space="preserve">m 8-K filed on November 6, 2025 (SEC File </w:t>
              </w:r>
            </w:hyperlink>
            <w:hyperlink r:id="rId17">
              <w:r>
                <w:rPr>
                  <w:rStyle w:val="InternetLink"/>
                  <w:rFonts w:ascii="Times New Roman;serif" w:hAnsi="Times New Roman;serif"/>
                  <w:b w:val="false"/>
                  <w:color w:val="000080"/>
                  <w:sz w:val="20"/>
                  <w:u w:val="single"/>
                </w:rPr>
                <w:t>No. 000-24206).</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Executive Agreement dated August 5, 2025, between PENN Entertainment, Inc. and Jay Snowden is hereby incorporated by reference to Exhibit 10.2 to the Company’s Quarterly Report on Form 10-Q for the quarterly period ended June 30, 2025 (SEC File No. 000-24206).</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10209302025.htm">
              <w:r>
                <w:rPr>
                  <w:rStyle w:val="InternetLink"/>
                  <w:rFonts w:ascii="Times New Roman;serif" w:hAnsi="Times New Roman;serif"/>
                  <w:b w:val="false"/>
                  <w:color w:val="0000FF"/>
                  <w:sz w:val="20"/>
                  <w:u w:val="single"/>
                </w:rPr>
                <w:t>Executive Agreement, dated November 5, 2025, between PENN Entertainment, Inc. and Todd George.</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109302025.htm">
              <w:r>
                <w:rPr>
                  <w:rStyle w:val="InternetLink"/>
                  <w:rFonts w:ascii="Times New Roman;serif" w:hAnsi="Times New Roman;serif"/>
                  <w:b w:val="false"/>
                  <w:color w:val="0000FF"/>
                  <w:sz w:val="20"/>
                  <w:u w:val="single"/>
                </w:rPr>
                <w:t>CEO Certification pursuant to Exchange Act Rules 13a-14(a) and 15d-14(a), as adopted pursuant to Section 302 of the Sarbanes-Oxley Act of 2002.</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209302025.htm">
              <w:r>
                <w:rPr>
                  <w:rStyle w:val="InternetLink"/>
                  <w:rFonts w:ascii="Times New Roman;serif" w:hAnsi="Times New Roman;serif"/>
                  <w:b w:val="false"/>
                  <w:color w:val="0000FF"/>
                  <w:sz w:val="20"/>
                  <w:u w:val="single"/>
                </w:rPr>
                <w:t>CFO Certification pursuant to Exchange Act Rules 13a-14(a) and 15d-14(a), as adopted pursuant to Section 302 of the Sarbanes-Oxley Act of 2002.</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109302025.htm">
              <w:r>
                <w:rPr>
                  <w:rStyle w:val="InternetLink"/>
                  <w:rFonts w:ascii="Times New Roman;serif" w:hAnsi="Times New Roman;serif"/>
                  <w:b w:val="false"/>
                  <w:color w:val="0000FF"/>
                  <w:sz w:val="20"/>
                  <w:u w:val="single"/>
                </w:rPr>
                <w:t>CEO Certification pursuant to 18 U.S.C. Section 1350, As Adopted Pursuant to Section 906 of The Sarbanes-Oxley Act of 2002.</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209302025.htm">
              <w:r>
                <w:rPr>
                  <w:rStyle w:val="InternetLink"/>
                  <w:rFonts w:ascii="Times New Roman;serif" w:hAnsi="Times New Roman;serif"/>
                  <w:b w:val="false"/>
                  <w:color w:val="0000FF"/>
                  <w:sz w:val="20"/>
                  <w:u w:val="single"/>
                </w:rPr>
                <w:t>CFO Certification pursuant to 18 U.S.C. Section 1350, As Adopted Pursuant to Section 906 of The Sarbanes-Oxley Act of 2002.</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 </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Inline XBRL File (included in Exhibit 101)</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2f572135b0b478ca136af16d332df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7167" w:type="dxa"/>
        <w:jc w:val="left"/>
        <w:tblInd w:w="0" w:type="dxa"/>
        <w:tblLayout w:type="fixed"/>
        <w:tblCellMar>
          <w:top w:w="28" w:type="dxa"/>
          <w:left w:w="28" w:type="dxa"/>
          <w:bottom w:w="28" w:type="dxa"/>
          <w:right w:w="28" w:type="dxa"/>
        </w:tblCellMar>
      </w:tblPr>
      <w:tblGrid>
        <w:gridCol w:w="238"/>
        <w:gridCol w:w="210"/>
        <w:gridCol w:w="212"/>
        <w:gridCol w:w="534"/>
        <w:gridCol w:w="534"/>
        <w:gridCol w:w="536"/>
        <w:gridCol w:w="134"/>
        <w:gridCol w:w="134"/>
        <w:gridCol w:w="136"/>
        <w:gridCol w:w="1315"/>
        <w:gridCol w:w="1315"/>
        <w:gridCol w:w="186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PENN Entertainment, Inc.</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10.2</w:t>
      </w:r>
    </w:p>
    <w:tbl>
      <w:tblPr>
        <w:tblW w:w="1649" w:type="dxa"/>
        <w:jc w:val="right"/>
        <w:tblInd w:w="0" w:type="dxa"/>
        <w:tblLayout w:type="fixed"/>
        <w:tblCellMar>
          <w:top w:w="28" w:type="dxa"/>
          <w:left w:w="28" w:type="dxa"/>
          <w:bottom w:w="28" w:type="dxa"/>
          <w:right w:w="28" w:type="dxa"/>
        </w:tblCellMar>
      </w:tblPr>
      <w:tblGrid>
        <w:gridCol w:w="528"/>
        <w:gridCol w:w="463"/>
        <w:gridCol w:w="658"/>
      </w:tblGrid>
      <w:tr>
        <w:trPr/>
        <w:tc>
          <w:tcPr>
            <w:tcW w:w="52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Execution Copy</w:t>
            </w:r>
          </w:p>
        </w:tc>
      </w:tr>
    </w:tbl>
    <w:p>
      <w:pPr>
        <w:pStyle w:val="TextBody"/>
        <w:bidi w:val="0"/>
        <w:spacing w:lineRule="auto" w:line="266" w:before="260" w:after="240"/>
        <w:jc w:val="center"/>
        <w:rPr>
          <w:rFonts w:ascii="Times New Roman;serif" w:hAnsi="Times New Roman;serif"/>
          <w:b/>
          <w:color w:val="000000"/>
          <w:sz w:val="24"/>
          <w:u w:val="single"/>
        </w:rPr>
      </w:pPr>
      <w:r>
        <w:rPr>
          <w:rFonts w:ascii="Times New Roman;serif" w:hAnsi="Times New Roman;serif"/>
          <w:b/>
          <w:color w:val="000000"/>
          <w:sz w:val="24"/>
          <w:u w:val="single"/>
        </w:rPr>
        <w:t>EXECUTIVE AGREEMENT</w:t>
      </w:r>
    </w:p>
    <w:p>
      <w:pPr>
        <w:pStyle w:val="TextBody"/>
        <w:bidi w:val="0"/>
        <w:spacing w:lineRule="auto" w:line="266" w:before="260" w:after="240"/>
        <w:ind w:left="0" w:right="0" w:firstLine="720"/>
        <w:jc w:val="left"/>
        <w:rPr/>
      </w:pPr>
      <w:r>
        <w:rPr>
          <w:rFonts w:ascii="Times New Roman;serif" w:hAnsi="Times New Roman;serif"/>
          <w:b w:val="false"/>
          <w:color w:val="000000"/>
          <w:sz w:val="24"/>
        </w:rPr>
        <w:t>This EXECUTIVE AGREEMENT (this “Agreement”) is entered into on this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November, 2025 (the “Effective Date”), by PENN Entertainment, Inc., a Pennsylvania corporation (the “Company”), and the senior executive who has executed this Agreement below (“Executive”).</w:t>
      </w:r>
    </w:p>
    <w:p>
      <w:pPr>
        <w:pStyle w:val="TextBody"/>
        <w:bidi w:val="0"/>
        <w:spacing w:lineRule="auto" w:line="266" w:before="26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each of the parties wishes to enter into this Agreement, the terms of which are intended to be in compliance with the requirements of Section 409A of the Internal Revenue Code of 1986, as amended (“Section 409A,” see also Section 23 hereof).</w:t>
      </w:r>
    </w:p>
    <w:p>
      <w:pPr>
        <w:pStyle w:val="TextBody"/>
        <w:bidi w:val="0"/>
        <w:spacing w:lineRule="auto" w:line="266" w:before="26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the parties, in exchange for the mutual promises described herein and other good and valuable consideration and intending to be legally bound, agree as follows:</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w:t>
      </w:r>
      <w:r>
        <w:rPr>
          <w:rFonts w:ascii="Times New Roman;serif" w:hAnsi="Times New Roman;serif"/>
          <w:b w:val="false"/>
          <w:color w:val="000000"/>
          <w:sz w:val="24"/>
          <w:u w:val="single"/>
        </w:rPr>
        <w:t>Termination of Earlier Agreement</w:t>
      </w:r>
      <w:r>
        <w:rPr>
          <w:rFonts w:ascii="Times New Roman;serif" w:hAnsi="Times New Roman;serif"/>
          <w:b w:val="false"/>
          <w:color w:val="000000"/>
          <w:sz w:val="24"/>
        </w:rPr>
        <w:t xml:space="preserve">. The Company and Executive hereby agree to extend Executive’s employment beyond the term of his current employment agreement (“Earlier Agreement”) in the manner described herein. Effective on the Effective Date, the Earlier Agreement will be deemed terminated and superseded by this Agreement. </w:t>
      </w:r>
    </w:p>
    <w:p>
      <w:pPr>
        <w:pStyle w:val="TextBody"/>
        <w:bidi w:val="0"/>
        <w:spacing w:lineRule="auto" w:line="266" w:before="260" w:after="240"/>
        <w:ind w:left="0" w:right="0" w:firstLine="720"/>
        <w:jc w:val="left"/>
        <w:rPr/>
      </w:pPr>
      <w:r>
        <w:rPr>
          <w:rFonts w:ascii="Times New Roman;serif" w:hAnsi="Times New Roman;serif"/>
          <w:b w:val="false"/>
          <w:color w:val="010000"/>
          <w:sz w:val="24"/>
        </w:rPr>
        <w:t>2.</w:t>
      </w:r>
      <w:r>
        <w:rPr>
          <w:rFonts w:ascii="Times New Roman;serif" w:hAnsi="Times New Roman;serif"/>
          <w:b w:val="false"/>
          <w:color w:val="000000"/>
          <w:sz w:val="24"/>
          <w:u w:val="single"/>
        </w:rPr>
        <w:t>Terms of Employment</w:t>
      </w:r>
      <w:r>
        <w:rPr>
          <w:rFonts w:ascii="Times New Roman;serif" w:hAnsi="Times New Roman;serif"/>
          <w:b w:val="false"/>
          <w:color w:val="000000"/>
          <w:sz w:val="24"/>
        </w:rPr>
        <w:t xml:space="preserve">. </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this Agreement shall begin on the Effective Date and shall terminate on the earlier of January 1, 2029 (“Term”) or the termination of Executive’s employment with the Company; provided, however, notwithstanding anything in this Agreement to the contrary, Sections 7 through 25 shall survive until the expiration of any applicable time periods set forth in Sections 7, 8 and 9.</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(i)  During the Term, Executive shall (A) serve as the Executive Vice President, Operations, of the Company with such duties and responsibilities as are commensurate with such positions, and (B) report to the Company’s Chief Executive Officer.  Executive acknowledges that he may be required to travel in connection with the performance of his duties.</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Compensation</w:t>
      </w:r>
      <w:r>
        <w:rPr>
          <w:rFonts w:ascii="Times New Roman;serif" w:hAnsi="Times New Roman;serif"/>
          <w:b w:val="false"/>
          <w:color w:val="000000"/>
          <w:sz w:val="24"/>
        </w:rPr>
        <w:t>. Effective as of the Effective Date, (i) Executive’s annualized base salary shall be $1,030,000 (as in effect from time to time, “Base Salary”) and Executive’s annual target bonus shall be 125% of Base Salary (“Target Bonus”); provided that the Compensation Committee of the Company’s Board of Directors (the “Board”) shall have discretion to increase the Base Salary during the Term.</w:t>
      </w:r>
    </w:p>
    <w:p>
      <w:pPr>
        <w:pStyle w:val="TextBody"/>
        <w:bidi w:val="0"/>
        <w:spacing w:lineRule="auto" w:line="266" w:before="260" w:after="240"/>
        <w:ind w:left="0" w:right="0" w:firstLine="720"/>
        <w:jc w:val="left"/>
        <w:rPr/>
      </w:pPr>
      <w:r>
        <w:rPr>
          <w:rFonts w:ascii="Times New Roman;serif" w:hAnsi="Times New Roman;serif"/>
          <w:b w:val="false"/>
          <w:color w:val="010000"/>
          <w:sz w:val="24"/>
        </w:rPr>
        <w:t>3.</w:t>
      </w:r>
      <w:r>
        <w:rPr>
          <w:rFonts w:ascii="Times New Roman;serif" w:hAnsi="Times New Roman;serif"/>
          <w:b w:val="false"/>
          <w:color w:val="000000"/>
          <w:sz w:val="24"/>
          <w:u w:val="single"/>
        </w:rPr>
        <w:t>Termination by the Company</w:t>
      </w:r>
      <w:r>
        <w:rPr>
          <w:rFonts w:ascii="Times New Roman;serif" w:hAnsi="Times New Roman;serif"/>
          <w:b w:val="false"/>
          <w:color w:val="000000"/>
          <w:sz w:val="24"/>
        </w:rPr>
        <w:t>.</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w:t>
      </w:r>
      <w:r>
        <w:rPr>
          <w:rFonts w:ascii="Times New Roman;serif" w:hAnsi="Times New Roman;serif"/>
          <w:b w:val="false"/>
          <w:color w:val="000000"/>
          <w:sz w:val="24"/>
        </w:rPr>
        <w:t>. The Company may terminate Executive’s employment at any time without Cause (as such term is defined in subsection (c) below), with Cause, or at the end of the Term by non-renewal of this Agreement.</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Without Cause</w:t>
      </w:r>
      <w:r>
        <w:rPr>
          <w:rFonts w:ascii="Times New Roman;serif" w:hAnsi="Times New Roman;serif"/>
          <w:b w:val="false"/>
          <w:color w:val="000000"/>
          <w:sz w:val="24"/>
        </w:rPr>
        <w:t>. The Company may terminate Executive’s employment at any time without Cause (as such term is defined in subsection (c) below) by delivery of written notice to Executive, which notice shall set forth the effective date of such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6" w:before="26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With Cause</w:t>
      </w:r>
      <w:r>
        <w:rPr>
          <w:rFonts w:ascii="Times New Roman;serif" w:hAnsi="Times New Roman;serif"/>
          <w:b w:val="false"/>
          <w:color w:val="000000"/>
          <w:sz w:val="24"/>
        </w:rPr>
        <w:t>. The Company may terminate Executive’s employment at any time for Cause effective immediately upon delivery of written notice to Executive. As used herein, the term “Cause” shall mean:</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Executive shall have been convicted of, or pled guilty or nolo contendere to, a criminal offense involving allegations of fraud, dishonesty or physical harm during the term of this Agreement;</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(ii)</w:t>
      </w:r>
      <w:r>
        <w:rPr>
          <w:rFonts w:ascii="Times New Roman;serif" w:hAnsi="Times New Roman;serif"/>
          <w:b w:val="false"/>
          <w:color w:val="000000"/>
          <w:sz w:val="24"/>
        </w:rPr>
        <w:t>Executive is found (or is reasonably likely to be found) disqualified or not suitable to hold a casino or other gaming license by a governmental gaming authority in any jurisdiction where Executive is required to be found qualified, suitable or licensed;</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(iii)</w:t>
      </w:r>
      <w:r>
        <w:rPr>
          <w:rFonts w:ascii="Times New Roman;serif" w:hAnsi="Times New Roman;serif"/>
          <w:b w:val="false"/>
          <w:color w:val="000000"/>
          <w:sz w:val="24"/>
        </w:rPr>
        <w:t>Executive breaches any significant Company policy (such as the Business Code of Conduct or the Harassment Policy) or term of this Agreement, including, without limitation, Sections 6 through 9 of this Agreement;</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(iv)</w:t>
      </w:r>
      <w:r>
        <w:rPr>
          <w:rFonts w:ascii="Times New Roman;serif" w:hAnsi="Times New Roman;serif"/>
          <w:b w:val="false"/>
          <w:color w:val="000000"/>
          <w:sz w:val="24"/>
        </w:rPr>
        <w:t>Executive misappropriates corporate funds or resources as determined in good faith by the Audit Committee of the Board;</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(v)</w:t>
      </w:r>
      <w:r>
        <w:rPr>
          <w:rFonts w:ascii="Times New Roman;serif" w:hAnsi="Times New Roman;serif"/>
          <w:b w:val="false"/>
          <w:color w:val="000000"/>
          <w:sz w:val="24"/>
        </w:rPr>
        <w:t>Executive’s willful and continued failure to perform duties (except due to mental or physical incapacity); or</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(vi)</w:t>
      </w:r>
      <w:r>
        <w:rPr>
          <w:rFonts w:ascii="Times New Roman;serif" w:hAnsi="Times New Roman;serif"/>
          <w:b w:val="false"/>
          <w:color w:val="000000"/>
          <w:sz w:val="24"/>
        </w:rPr>
        <w:t>Executive’s engagement in illegal conduct or gross misconduct which is or is reasonably expected to be materially injurious to the Company or one of its affiliates;</w:t>
      </w:r>
    </w:p>
    <w:p>
      <w:pPr>
        <w:pStyle w:val="TextBody"/>
        <w:bidi w:val="0"/>
        <w:spacing w:lineRule="auto" w:line="266" w:before="260" w:after="240"/>
        <w:jc w:val="left"/>
        <w:rPr/>
      </w:pPr>
      <w:r>
        <w:rPr>
          <w:rFonts w:ascii="Times New Roman;serif" w:hAnsi="Times New Roman;serif"/>
          <w:b w:val="false"/>
          <w:i/>
          <w:color w:val="000000"/>
          <w:sz w:val="24"/>
        </w:rPr>
        <w:t>provided</w:t>
      </w:r>
      <w:r>
        <w:rPr>
          <w:rFonts w:ascii="Times New Roman;serif" w:hAnsi="Times New Roman;serif"/>
          <w:b w:val="false"/>
          <w:color w:val="000000"/>
          <w:sz w:val="24"/>
        </w:rPr>
        <w:t>, that, in no event shall Executive’s termination be for “Cause” pursuant to any of clauses (iii), (iv), (v) or (vi), unless (x) an event or circumstance constituting “Cause” shall have occurred and the Company provides Executive with written notice thereof, and (y) Executive fails to cure the circumstance or event so identified (if curable) within fifteen (15) days after the receipt of such notice.</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Death</w:t>
      </w:r>
      <w:r>
        <w:rPr>
          <w:rFonts w:ascii="Times New Roman;serif" w:hAnsi="Times New Roman;serif"/>
          <w:b w:val="false"/>
          <w:color w:val="000000"/>
          <w:sz w:val="24"/>
        </w:rPr>
        <w:t>. Executive’s employment will terminate automatically upon Executive’s death.</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Disability</w:t>
      </w:r>
      <w:r>
        <w:rPr>
          <w:rFonts w:ascii="Times New Roman;serif" w:hAnsi="Times New Roman;serif"/>
          <w:b w:val="false"/>
          <w:color w:val="000000"/>
          <w:sz w:val="24"/>
        </w:rPr>
        <w:t>. The Company may terminate Executive’s employment due to Executive’s inability to perform the essential functions of Executive’s job (with or without reasonable accommodation) by reason of disability, where such inability continues for a period of ninety (90) days continuously.</w:t>
      </w:r>
    </w:p>
    <w:p>
      <w:pPr>
        <w:pStyle w:val="TextBody"/>
        <w:bidi w:val="0"/>
        <w:spacing w:lineRule="auto" w:line="266" w:before="260" w:after="240"/>
        <w:ind w:left="0" w:right="0" w:firstLine="720"/>
        <w:jc w:val="left"/>
        <w:rPr/>
      </w:pPr>
      <w:r>
        <w:rPr>
          <w:rFonts w:ascii="Times New Roman;serif" w:hAnsi="Times New Roman;serif"/>
          <w:b w:val="false"/>
          <w:color w:val="010000"/>
          <w:sz w:val="24"/>
        </w:rPr>
        <w:t>4.</w:t>
      </w:r>
      <w:r>
        <w:rPr>
          <w:rFonts w:ascii="Times New Roman;serif" w:hAnsi="Times New Roman;serif"/>
          <w:b w:val="false"/>
          <w:color w:val="000000"/>
          <w:sz w:val="24"/>
          <w:u w:val="single"/>
        </w:rPr>
        <w:t>Termination by Executive</w:t>
      </w:r>
      <w:r>
        <w:rPr>
          <w:rFonts w:ascii="Times New Roman;serif" w:hAnsi="Times New Roman;serif"/>
          <w:b w:val="false"/>
          <w:color w:val="000000"/>
          <w:sz w:val="24"/>
        </w:rPr>
        <w:t xml:space="preserve">. </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Executive may voluntarily terminate employment without Good Reason effective upon 60 days’ prior written notice to the Company, in which case no severance payments or benefits shall be due.</w:t>
      </w:r>
    </w:p>
    <w:p>
      <w:pPr>
        <w:pStyle w:val="TextBody"/>
        <w:bidi w:val="0"/>
        <w:spacing w:before="2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Executive may terminate employment for Good Reason, effective upon 60 days prior written notice, in which case severance payments and benefits shall be payable to the extent set forth below. As used herein, the term “Good Reason” shall mean the occurrence of any of the following events that the Company fails to cure within 10 days after receiving written notice thereof from Executive (which notice must be delivered within 30 days following the applicable event or circumstance): (i) a material reduction in Executive’s authority, duties or responsibilities; (ii) any reduction in Executive’s compensation or substantial reduction in Executive’s benefits taken as a whole, other than any reduction of compensation or benefits of ten percent or less (A) that applies to Executive and other executives of the Company who report directly to the Chief Executive Officer of the Company and (B) that applies at a time other than the two years immediately following a Change of Control (as defined in the Company’s then current long-term incentive compensation plan) (such two-year period, the “CoC Protection Period”); (iii) any travel requirements, following a Change of Control, materially greater than Executive’s travel requirements prior to the Change of Control; (iv) an office relocation of greater than 50 miles from Executive’s then current office, or (v) any breach of any material term of this Agreement by the Company.</w:t>
      </w:r>
    </w:p>
    <w:p>
      <w:pPr>
        <w:pStyle w:val="TextBody"/>
        <w:bidi w:val="0"/>
        <w:spacing w:lineRule="auto" w:line="266" w:before="260" w:after="240"/>
        <w:ind w:left="0" w:right="0" w:firstLine="720"/>
        <w:jc w:val="left"/>
        <w:rPr/>
      </w:pPr>
      <w:r>
        <w:rPr>
          <w:rFonts w:ascii="Times New Roman;serif" w:hAnsi="Times New Roman;serif"/>
          <w:b w:val="false"/>
          <w:color w:val="010000"/>
          <w:sz w:val="24"/>
        </w:rPr>
        <w:t>5.</w:t>
      </w:r>
      <w:r>
        <w:rPr>
          <w:rFonts w:ascii="Times New Roman;serif" w:hAnsi="Times New Roman;serif"/>
          <w:b w:val="false"/>
          <w:color w:val="000000"/>
          <w:sz w:val="24"/>
          <w:u w:val="single"/>
        </w:rPr>
        <w:t>Severance Pay and Benefits</w:t>
      </w:r>
      <w:r>
        <w:rPr>
          <w:rFonts w:ascii="Times New Roman;serif" w:hAnsi="Times New Roman;serif"/>
          <w:b w:val="false"/>
          <w:color w:val="000000"/>
          <w:sz w:val="24"/>
        </w:rPr>
        <w:t>. Subject to the terms and conditions set forth in this Agreement, if Executive’s employment is terminated under Section 3(b), under Section 4(b) or by the Company’s non-renewal of Executive’s employment under this Agreement on substantially-similar terms, then the Company will provide Executive with the following severance pay and benefits (except in the event of a breach of the Release, as defined below); provided, for purposes of Section 409A, each payment of severance pay under this Section 5 shall be considered a separate payment:</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Severance</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Subject to Sections 5(e) and 23:</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If the date of Executive’s separation from service (the “Termination Date”) occurs outside of the CoC Protection Period, the Company shall pay to Executive an amount equal to the sum of (A) two times Base Salary and (B) one and one half times Target Bonus, with each component based on the greater of (x) the amount in effect on the Termination Date, and (y) the amount set forth in Section 2(c), with such amount payable in equal installments over the Severance Period in accordance with the Company’s regular payroll procedures for similarly situated executives following the Termination Date; or </w:t>
      </w:r>
    </w:p>
    <w:p>
      <w:pPr>
        <w:pStyle w:val="TextBody"/>
        <w:bidi w:val="0"/>
        <w:spacing w:lineRule="auto" w:line="266" w:before="260" w:after="240"/>
        <w:ind w:left="0" w:right="0" w:firstLine="2160"/>
        <w:jc w:val="left"/>
        <w:rPr/>
      </w:pPr>
      <w:r>
        <w:rPr>
          <w:rFonts w:ascii="Times New Roman;serif" w:hAnsi="Times New Roman;serif"/>
          <w:b w:val="false"/>
          <w:color w:val="000000"/>
          <w:sz w:val="24"/>
        </w:rPr>
        <w:t>(ii)</w:t>
      </w:r>
      <w:r>
        <w:rPr>
          <w:rFonts w:ascii="Times New Roman;serif" w:hAnsi="Times New Roman;serif"/>
          <w:b w:val="false"/>
          <w:color w:val="000000"/>
          <w:sz w:val="24"/>
        </w:rPr>
        <w:t>If the Termination Date occurs during the CoC Protection Period, the Company shall pay to Executive an amount equal to the product of two times the sum of Base Salary and Target Bonus, with each component based on the greatest of (x) the amount in effect on the Termination Date, (y) the amount set forth in Section 2(c) and (z) the amount in effect on the date of the Change of Control, such amount payable as follows: if the Change of Control is a 409A CoC (as defined below) or such payments can otherwise be made without violating Section 409A of the Code, on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Termination Date and otherwise, in equal installments over the Severance Period in accordance with the Company’s regular payroll procedures for similarly situated executives following the Termination Date.</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Pro-Rata Bonus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The Company shall pay to Executive an annual bonus for the fiscal year in which the Termination Date occurs, pro-rated to cover the portion of the fiscal year from the first day of the fiscal year through the Termination Date, (i) if the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jc w:val="left"/>
        <w:rPr/>
      </w:pPr>
      <w:r>
        <w:rPr>
          <w:rFonts w:ascii="Times New Roman;serif" w:hAnsi="Times New Roman;serif"/>
          <w:b w:val="false"/>
          <w:color w:val="000000"/>
          <w:sz w:val="24"/>
        </w:rPr>
        <w:t>Termination Date occurs outside of the CoC Protection Period, based on actual performance, determined by the Compensation Committee of the Board, and paid to Executive on the date annual bonuses are paid to similarly-situated executives after the Termination Date, but in no event later than March 15 of the year following the year in which the Termination Date occurs, and (ii) if the Termination Date occurs during the CoC Protection Period, based on the greater of (A) the Target Bonus in effect on the Termination Date and (B) the Target Bonus in effect on the date of the Change of Control, such amount pursuant to this clause (ii) to be paid on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Termination Date.</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Continued Medical Benefits Coverage</w:t>
      </w:r>
      <w:r>
        <w:rPr>
          <w:rFonts w:ascii="Times New Roman;serif" w:hAnsi="Times New Roman;serif"/>
          <w:b w:val="false"/>
          <w:color w:val="000000"/>
          <w:sz w:val="24"/>
        </w:rPr>
        <w:t>. During the twenty-four months following the Termination Date (such period, the “Severance Period”), Executive and Executive’s dependents will have the opportunity under the provisions of the Consolidated Omnibus Budget Reconciliation Act of 1986, as amended (“COBRA”) to elect COBRA continuation coverage. If Employee so elects and pays for COBRA coverage in a timely manner, the Company shall reimburse Executive for the cost of purchasing COBRA coverage through the end of the Severance Period (or until such earlier date as Executive and Executive’s dependents cease to receive COBRA coverage) and any such reimbursement shall be imputed as income to the Executive.</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Accrued and Unpaid Annual Bonus for Last Completed Fiscal Year</w:t>
      </w:r>
      <w:r>
        <w:rPr>
          <w:rFonts w:ascii="Times New Roman;serif" w:hAnsi="Times New Roman;serif"/>
          <w:b w:val="false"/>
          <w:color w:val="000000"/>
          <w:sz w:val="24"/>
        </w:rPr>
        <w:t>. If the Company has not paid an annual bonus for the fiscal year preceding the year in which the Termination Date occurs, the Company shall pay to Executive an annual bonus for such year based on actual performance, determined by the Compensation Committee of the Board.</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Release Agreement</w:t>
      </w:r>
      <w:r>
        <w:rPr>
          <w:rFonts w:ascii="Times New Roman;serif" w:hAnsi="Times New Roman;serif"/>
          <w:b w:val="false"/>
          <w:color w:val="000000"/>
          <w:sz w:val="24"/>
        </w:rPr>
        <w:t>. Executive’s entitlement to any severance pay and benefit entitlements under this Section 5 is conditioned upon Executive’s first entering into a release substantially in the form attached as Exhibit A (“Release”) and the Release becoming effective no later than the sixtieth day following the employment termination date, which Release shall be delivered to Executive within 14 days after the Termination Date. Notwithstanding any other provision hereof, all severance payments to Executive shall be delayed until after the expiration of any applicable revocation period with respect to the release, but in the event the applicable revocation period spans two calendar years, the payments shall commence in the second calendar year. Executive also acknowledges that any severance pay under this Section 5 is subject to the Company’s then current recoupment policy.</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No Mitigation</w:t>
      </w:r>
      <w:r>
        <w:rPr>
          <w:rFonts w:ascii="Times New Roman;serif" w:hAnsi="Times New Roman;serif"/>
          <w:b w:val="false"/>
          <w:color w:val="000000"/>
          <w:sz w:val="24"/>
        </w:rPr>
        <w:t>. In no event shall the Executive be obligated to seek other employment or take any other action by way of mitigation of the amounts payable to the Executive pursuant to this Section 5, and such amounts shall not be reduced whether or not the Executive obtains other employment; provided, however, that if Executive accepts any employment with the Company, or an affiliate or related entity of the Company, and becomes reemployed by the Company or an affiliate or related entity of the Company during the Severance Period, Executive acknowledges and agrees that Employee will forfeit all future severance payments from the date on which reemployment commences.</w:t>
      </w:r>
      <w:r>
        <w:rPr>
          <w:color w:val="000000"/>
          <w:u w:val="single"/>
        </w:rPr>
        <w:t xml:space="preserve"> </w:t>
      </w:r>
      <w:r>
        <w:rPr>
          <w:rFonts w:ascii="Times New Roman;serif" w:hAnsi="Times New Roman;serif"/>
          <w:b w:val="false"/>
          <w:color w:val="000000"/>
          <w:sz w:val="24"/>
        </w:rPr>
        <w:t xml:space="preserve">Following a Change of Control, the Company agrees to pay as incurred (within 10 days following the Company’s receipt of an invoice from the Executive), to the full extent permitted by law, all legal fees and expenses that Executive may incur as a result of any contest (regardless of the outcome thereof) by the Company, the Executive or others of the validity or enforceability of, or liability under, any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jc w:val="left"/>
        <w:rPr>
          <w:rFonts w:ascii="Times New Roman;serif" w:hAnsi="Times New Roman;serif"/>
          <w:b w:val="false"/>
          <w:color w:val="000000"/>
          <w:sz w:val="24"/>
        </w:rPr>
      </w:pPr>
      <w:r>
        <w:rPr>
          <w:rFonts w:ascii="Times New Roman;serif" w:hAnsi="Times New Roman;serif"/>
          <w:b w:val="false"/>
          <w:color w:val="000000"/>
          <w:sz w:val="24"/>
        </w:rPr>
        <w:t>provision of this Agreement or any guarantee of performance thereof (including as a result of any contest by the Executive about the amount of any payment pursuant to this Agreement).</w:t>
      </w:r>
    </w:p>
    <w:p>
      <w:pPr>
        <w:pStyle w:val="TextBody"/>
        <w:bidi w:val="0"/>
        <w:spacing w:lineRule="auto" w:line="266" w:before="260" w:after="240"/>
        <w:ind w:left="0" w:right="0" w:firstLine="720"/>
        <w:jc w:val="left"/>
        <w:rPr/>
      </w:pPr>
      <w:r>
        <w:rPr>
          <w:rFonts w:ascii="Times New Roman;serif" w:hAnsi="Times New Roman;serif"/>
          <w:b w:val="false"/>
          <w:color w:val="010000"/>
          <w:sz w:val="24"/>
        </w:rPr>
        <w:t>6.</w:t>
      </w:r>
      <w:r>
        <w:rPr>
          <w:rFonts w:ascii="Times New Roman;serif" w:hAnsi="Times New Roman;serif"/>
          <w:b w:val="false"/>
          <w:color w:val="000000"/>
          <w:sz w:val="24"/>
          <w:u w:val="single"/>
        </w:rPr>
        <w:t>No Conflicts of Interest</w:t>
      </w:r>
      <w:r>
        <w:rPr>
          <w:rFonts w:ascii="Times New Roman;serif" w:hAnsi="Times New Roman;serif"/>
          <w:b w:val="false"/>
          <w:color w:val="000000"/>
          <w:sz w:val="24"/>
        </w:rPr>
        <w:t>. Executive agrees that throughout the period of Executive’s employment hereunder, Executive will not perform any activities or services, or accept other employment, that would materially interfere with or present a conflict of interest concerning Executive’s employment with the Company. Executive agrees and acknowledges that Executive’s employment is conditioned upon Executive adhering to and complying with the business practices and requirements of ethical conduct set forth in writing from time to time by the Company in its employee manual, code of conduct or similar publication. Executive represents and warrants that no other contract, agreement or understanding to which Executive is a party or may be subject to will be violated by the execution of this Agreement by Executive. Executive further agrees to not accept any position on the board of a for-profit company without the written consent of the Penn Entertainment, Inc. Chief Executive Officer.</w:t>
      </w:r>
    </w:p>
    <w:p>
      <w:pPr>
        <w:pStyle w:val="TextBody"/>
        <w:bidi w:val="0"/>
        <w:spacing w:lineRule="auto" w:line="266" w:before="260" w:after="240"/>
        <w:ind w:left="0" w:right="0" w:firstLine="720"/>
        <w:jc w:val="left"/>
        <w:rPr/>
      </w:pPr>
      <w:r>
        <w:rPr>
          <w:rFonts w:ascii="Times New Roman;serif" w:hAnsi="Times New Roman;serif"/>
          <w:b w:val="false"/>
          <w:color w:val="010000"/>
          <w:sz w:val="24"/>
        </w:rPr>
        <w:t>7.</w:t>
      </w:r>
      <w:r>
        <w:rPr>
          <w:rFonts w:ascii="Times New Roman;serif" w:hAnsi="Times New Roman;serif"/>
          <w:b w:val="false"/>
          <w:color w:val="000000"/>
          <w:sz w:val="24"/>
          <w:u w:val="single"/>
        </w:rPr>
        <w:t>Confidentiality</w:t>
      </w:r>
      <w:r>
        <w:rPr>
          <w:rFonts w:ascii="Times New Roman;serif" w:hAnsi="Times New Roman;serif"/>
          <w:b w:val="false"/>
          <w:color w:val="000000"/>
          <w:sz w:val="24"/>
        </w:rPr>
        <w:t>.</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Definition</w:t>
      </w:r>
      <w:r>
        <w:rPr>
          <w:rFonts w:ascii="Times New Roman;serif" w:hAnsi="Times New Roman;serif"/>
          <w:b w:val="false"/>
          <w:color w:val="000000"/>
          <w:sz w:val="24"/>
        </w:rPr>
        <w:t>. “Confidential Information” means data and information relating to the business of the Company or its affiliates, (i) which the Company or its affiliates have disclosed to Executive, or of which Executive became aware as a consequence of or in the course of Executive’s employment with the Company, (ii) which have value to the Company or its affiliates, and (iii) which are not generally known to its competitors. Confidential Information will not include any data or information that the Company or its affiliates have voluntarily disclosed to the public (except where Executive made or caused that public disclosure without authorization), that others have independently developed and disclosed to the public, or that otherwise enters the public domain through lawful means.</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Restrictions</w:t>
      </w:r>
      <w:r>
        <w:rPr>
          <w:rFonts w:ascii="Times New Roman;serif" w:hAnsi="Times New Roman;serif"/>
          <w:b w:val="false"/>
          <w:color w:val="000000"/>
          <w:sz w:val="24"/>
        </w:rPr>
        <w:t>. Executive agrees to treat as confidential and will not, without the prior written approval of the Company in each instance, directly or indirectly use (other than in the performance of Executive’s duties of employment with the Company or its affiliates), publish, disclose, copyright or authorize anyone else to use, publish, disclose or copyright, any Confidential Information obtained during Employee’s employment with the Company or its affiliates, whether or not the Confidential Information is in written or other tangible form. This restriction will continue after the Termination Date. Executive acknowledges and agrees that the prohibitions against disclosure and use of Confidential Information recited in this section are in addition to, and not in lieu of, any rights or remedies that the Company or its affiliates may have available under applicable laws.</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Nothing in this Agreement or in the Release shall prohibit Executive from reporting possible violations of federal law or regulation to any governmental agency or entity, or making other disclosures that are protected under the whistleblower provisions of applicable federal or state law or regulation.</w:t>
      </w:r>
    </w:p>
    <w:p>
      <w:pPr>
        <w:pStyle w:val="TextBody"/>
        <w:bidi w:val="0"/>
        <w:spacing w:lineRule="auto" w:line="266" w:before="260" w:after="240"/>
        <w:ind w:left="0" w:right="0" w:firstLine="720"/>
        <w:jc w:val="left"/>
        <w:rPr/>
      </w:pPr>
      <w:r>
        <w:rPr>
          <w:rFonts w:ascii="Times New Roman;serif" w:hAnsi="Times New Roman;serif"/>
          <w:b w:val="false"/>
          <w:color w:val="010000"/>
          <w:sz w:val="24"/>
        </w:rPr>
        <w:t>8.</w:t>
      </w:r>
      <w:r>
        <w:rPr>
          <w:rFonts w:ascii="Times New Roman;serif" w:hAnsi="Times New Roman;serif"/>
          <w:b w:val="false"/>
          <w:color w:val="000000"/>
          <w:sz w:val="24"/>
          <w:u w:val="single"/>
        </w:rPr>
        <w:t>Non-Competition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As used in this Section 8, the term “Restriction Period” shall mean a period equal to: (i) the 12-month period immediately following the Termination Date if Executive’s employment terminates under circumstances where Executive is not entitled to payments under Section 5 or (ii) the Severance Period if Executive’s employment terminates under circumstances where Executive is entitled to payments under Section 5.</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During the term of this Agreement and for the duration of the Restriction Period thereafter, Executive shall not, except with the prior written consent of the Company, directly or indirectly, own, manage, operate, join, control, finance or participate in the ownership, management, operation, control or financing of, or be connected as an officer, director, employee, partner, principal, agent, representative, consultant or otherwise with, or use or permit Executive’s name to be used in connection with, any Competing Business. A “Competing Business” includes any business enterprise which owns or operates, or is publicly seeking to own or operate, a gaming facility located within 150 miles of any facility in which the Company or its affiliates owns or operates or is actively seeking to own or operate a facility at such time (the “Restricted Area”). Executive acknowledges that any business which offers gaming, racing, sports wagering or internet real money / social gaming, and which markets to any customers in the Restricted Area, is a Competing Business.</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The foregoing restrictions shall not be construed to prohibit Executive’s ownership of less than 5% of any class of securities of any corporation which is engaged in any of the foregoing businesses and has a class of securities registered pursuant to the Securities Exchange Act of 1934, provided that such ownership represents a passive investment and that neither Executive nor any group of persons including Executive in any way, either directly or indirectly, manages or exercises control of any such corporation, guarantees any of its financial obligations, otherwise takes any part in its business, other than exercising Executive’s rights as a shareholder, or seeks to do any of the foregoing.</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Executive acknowledges that the covenants contained in Sections 7 through 9 hereof are reasonable and necessary to protect the legitimate interests of the Company and its affiliates and, in particular, that the duration and geographic scope of such covenants are reasonable given the nature of this Agreement and the position that Executive will hold within the Company and that the benefits provided to Executive under Section 5 are in consideration for Executive’s agreement to be bound by the covenants contained in Sections 7 through 9. Executive further agrees to disclose the existence and terms of such covenants to any employer that Executive works for during the Restriction Period.</w:t>
      </w:r>
    </w:p>
    <w:p>
      <w:pPr>
        <w:pStyle w:val="TextBody"/>
        <w:bidi w:val="0"/>
        <w:spacing w:lineRule="auto" w:line="266" w:before="260" w:after="240"/>
        <w:ind w:left="0" w:right="0" w:firstLine="720"/>
        <w:jc w:val="left"/>
        <w:rPr/>
      </w:pPr>
      <w:r>
        <w:rPr>
          <w:rFonts w:ascii="Times New Roman;serif" w:hAnsi="Times New Roman;serif"/>
          <w:b w:val="false"/>
          <w:color w:val="010000"/>
          <w:sz w:val="24"/>
        </w:rPr>
        <w:t>9.</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Executive will not, except with the prior written consent of the Company, during the term of this Agreement and for a period of 18 months after the Termination Date, directly or indirectly, solicit or hire, or encourage the solicitation or hiring of, any person who is, or was within a six month period prior to such solicitation or hiring, an executive or management (or higher) level employee of the Company or any of its affiliates, for any position as an employee, independent contractor, consultant or otherwise for the benefit of any entity not affiliated with the Company. Notwithstanding the foregoing, in no event will the following be a violation of this Section 9: (a) serving as a reference for any person or (b) placing a generalized advertisement (whether written, electronic or otherwise) not targeted at employees of the Company and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ind w:left="0" w:right="0" w:firstLine="720"/>
        <w:jc w:val="left"/>
        <w:rPr/>
      </w:pPr>
      <w:r>
        <w:rPr>
          <w:rFonts w:ascii="Times New Roman;serif" w:hAnsi="Times New Roman;serif"/>
          <w:b w:val="false"/>
          <w:color w:val="010000"/>
          <w:sz w:val="24"/>
        </w:rPr>
        <w:t>10.</w:t>
      </w:r>
      <w:r>
        <w:rPr>
          <w:rFonts w:ascii="Times New Roman;serif" w:hAnsi="Times New Roman;serif"/>
          <w:b w:val="false"/>
          <w:color w:val="000000"/>
          <w:sz w:val="24"/>
          <w:u w:val="single"/>
        </w:rPr>
        <w:t>Property Surrender</w:t>
      </w:r>
      <w:r>
        <w:rPr>
          <w:rFonts w:ascii="Times New Roman;serif" w:hAnsi="Times New Roman;serif"/>
          <w:b w:val="false"/>
          <w:color w:val="000000"/>
          <w:sz w:val="24"/>
        </w:rPr>
        <w:t>. Upon termination of Executive’s employment for any reason, Executive shall immediately surrender and deliver to the Company all property that belongs to the Company, including, but not limited to, any keys, equipment, computers, phones, credit cards, disk drives and any documents, correspondence and other information, including all Confidential Information, of any type whatsoever, from the Company or any of its agents, servants, employees, suppliers, and existing or potential customers, that came into Executive’s possession by any means during the course of employment.</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11.</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The Company shall indemnify Executive (including advancing the costs of reasonable attorney’s fees and expenses incurred by Executive) to the maximum extent permitted under applicable law for acts taken in good faith within the scope of his employment and his service as an officer or director of the Company (including for the avoidance of doubt as a witness). To the extent that the Company obtains coverage under a director and officer indemnification policy, Executive will be entitled to such coverage on a basis that is no less favorable than the coverage provided to any other officer or director of the Company. </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12.</w:t>
      </w:r>
      <w:r>
        <w:rPr>
          <w:rFonts w:ascii="Times New Roman;serif" w:hAnsi="Times New Roman;serif"/>
          <w:b w:val="false"/>
          <w:color w:val="000000"/>
          <w:sz w:val="24"/>
          <w:u w:val="single"/>
        </w:rPr>
        <w:t>Reduction of Certain Payments</w:t>
      </w:r>
      <w:r>
        <w:rPr>
          <w:rFonts w:ascii="Times New Roman;serif" w:hAnsi="Times New Roman;serif"/>
          <w:b w:val="false"/>
          <w:color w:val="000000"/>
          <w:sz w:val="24"/>
        </w:rPr>
        <w:t>. (a) For purposes of this Section 12: (a) a “Payment” shall mean any payment or distribution in the nature of compensation (within the meaning of Section 280G(b)(2) of the Code) to or for the benefit of the Executive, whether paid or payable pursuant to this Agreement or otherwise; (b) “Agreement Payment” shall mean a Payment paid or payable pursuant to this Agreement (disregarding this Section 12); (c) “Net After-Tax Receipt” shall mean the Present Value of a Payment net of all taxes imposed on the Executive with respect thereto under Sections 1 and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Accounting Firm (as defined below) determined to be likely to apply to the Executive in the relevant tax year(s); (d) “Present Value” shall mean such value determined in accordance with Sections 280G(b)(2)(A)(ii) and 280G(d)(4) of the Code; and (e) “Reduced Amount” shall mean the greatest amount of Agreement Payments that can be paid that would not result in the imposition of the excise tax under Section 4999 of the Code if the Accounting Firm determines to reduce Agreement Payments pursuant to Section 12(b).</w:t>
      </w:r>
    </w:p>
    <w:p>
      <w:pPr>
        <w:pStyle w:val="TextBody"/>
        <w:bidi w:val="0"/>
        <w:spacing w:lineRule="auto" w:line="266" w:before="26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Anything in the Agreement to the contrary notwithstanding, in the event that PricewaterhouseCoopers LLP, or such other nationally recognized certified public accounting firm as may be designated by the Executive (the “Accounting Firm”) shall determine that receipt of all Payments would subject the Executive to an excise tax under Section 4999 of the Code, the Accounting Firm shall determine whether to reduce any of the Agreement Payments to the Reduced Amount. The Agreement Payments shall be reduced to the Reduced Amount only if the Accounting Firm determines that the Executive would have a greater Net After-Tax Receipt of aggregate Payments if the Agreement Payments were reduced to the Reduced Amount. If the Accounting Firm determines that the Executive would not have a greater Net After-Tax Receipt of aggregate Payments if the Executive’s Agreement Payments were so reduced, the Executive shall receive all Agreement Payments to which the Executive is entitled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Accounting Firm determines that aggregate Agreement Payments should be reduced to the Reduced Amount, the Company shall promptly give the Executive notice to that effect and a copy of the detailed calculation thereof. All determinations made by the Accounting Firm under this Section 12 shall be binding upon the Company and the Executive and shall be made within 25 days following the Date of Termination. For purposes of reducing the Agreement Payments to the Reduced Amount, only amounts payable under this Agreement (and no other Payments) shall be reduced. The reduction of the amounts payable hereunder, if applicable, shall be made by reducing the payments and benefits under the following sections in the following order: (i) Section 5(b), (iii) Section 5(a) and (iv) Section 5(c). All fees and expenses of the Accounting Firm shall be borne solely by the Company. To the extent instructed by the Executive, in performing its calculations hereunder, the Accounting Firm shall take into account any reasonable compensation for services rendered or to be rendered by the Executive (including any non-competition covenants). </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13.</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internal laws (and not the law of conflicts) of the Commonwealth of Pennsylvania.</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14.</w:t>
      </w:r>
      <w:r>
        <w:rPr>
          <w:rFonts w:ascii="Times New Roman;serif" w:hAnsi="Times New Roman;serif"/>
          <w:b w:val="false"/>
          <w:color w:val="000000"/>
          <w:sz w:val="24"/>
          <w:u w:val="single"/>
        </w:rPr>
        <w:t>Jurisdiction</w:t>
      </w:r>
      <w:r>
        <w:rPr>
          <w:rFonts w:ascii="Times New Roman;serif" w:hAnsi="Times New Roman;serif"/>
          <w:b w:val="false"/>
          <w:color w:val="000000"/>
          <w:sz w:val="24"/>
        </w:rPr>
        <w:t>. The parties hereby irrevocably consent to the jurisdiction of the courts of the Commonwealth of Pennsylvania for all purposes in connection with any action or proceeding which arises out of or relates to this Agreement and agree that any action instituted under this Agreement shall be commenced, prosecuted and continued only in the state or federal courts having jurisdiction for matters arising in Wyomissing, Pennsylvania, which shall be the exclusive and only proper forum for adjudicating such a claim.</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15.</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required or permitted under this Agreement or necessary or convenient in connection herewith shall be in writing and shall be deemed to have been given when hand delivered, delivered by guaranteed next-day delivery or shall be deemed given on the third business day when mailed by registered or certified mail, as follows (provided that notice of change of address shall be deemed given only when received):</w:t>
      </w:r>
    </w:p>
    <w:p>
      <w:pPr>
        <w:pStyle w:val="TextBody"/>
        <w:bidi w:val="0"/>
        <w:spacing w:lineRule="auto" w:line="266" w:before="26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If to the Company, to:</w:t>
        <w:br/>
        <w:br/>
        <w:t>Penn Entertainment, Inc.</w:t>
        <w:br/>
        <w:t>825 Berkshire Boulevard, Suite 200</w:t>
        <w:br/>
        <w:t>Wyomissing, Pennsylvania 19610</w:t>
        <w:br/>
        <w:t>Attention: Chief Executive Officer (with a copy to the Chief Legal Officer)</w:t>
      </w:r>
    </w:p>
    <w:p>
      <w:pPr>
        <w:pStyle w:val="TextBody"/>
        <w:bidi w:val="0"/>
        <w:spacing w:lineRule="auto" w:line="266" w:before="26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If to Executive, to:</w:t>
        <w:br/>
        <w:br/>
        <w:t>Executive’s then current home address as provided by Executive to the Company.</w:t>
      </w:r>
    </w:p>
    <w:p>
      <w:pPr>
        <w:pStyle w:val="TextBody"/>
        <w:bidi w:val="0"/>
        <w:spacing w:lineRule="auto" w:line="266" w:before="260" w:after="240"/>
        <w:jc w:val="left"/>
        <w:rPr>
          <w:rFonts w:ascii="Times New Roman;serif" w:hAnsi="Times New Roman;serif"/>
          <w:b w:val="false"/>
          <w:color w:val="000000"/>
          <w:sz w:val="24"/>
        </w:rPr>
      </w:pPr>
      <w:r>
        <w:rPr>
          <w:rFonts w:ascii="Times New Roman;serif" w:hAnsi="Times New Roman;serif"/>
          <w:b w:val="false"/>
          <w:color w:val="000000"/>
          <w:sz w:val="24"/>
        </w:rPr>
        <w:t>or to such other names or addresses as the Company or Executive, as the case may be, shall designate by notice to each other person entitled to receive notices in the manner specified in this Section 15.</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ind w:left="0" w:right="0" w:firstLine="720"/>
        <w:jc w:val="left"/>
        <w:rPr/>
      </w:pPr>
      <w:r>
        <w:rPr>
          <w:rFonts w:ascii="Times New Roman;serif" w:hAnsi="Times New Roman;serif"/>
          <w:b w:val="false"/>
          <w:color w:val="010000"/>
          <w:sz w:val="24"/>
        </w:rPr>
        <w:t>16.</w:t>
      </w:r>
      <w:r>
        <w:rPr>
          <w:rFonts w:ascii="Times New Roman;serif" w:hAnsi="Times New Roman;serif"/>
          <w:b w:val="false"/>
          <w:color w:val="000000"/>
          <w:sz w:val="24"/>
          <w:u w:val="single"/>
        </w:rPr>
        <w:t>Contents of Agreement; Amendment and Assignment</w:t>
      </w:r>
      <w:r>
        <w:rPr>
          <w:rFonts w:ascii="Times New Roman;serif" w:hAnsi="Times New Roman;serif"/>
          <w:b w:val="false"/>
          <w:color w:val="000000"/>
          <w:sz w:val="24"/>
        </w:rPr>
        <w:t>. This Agreement sets forth the entire understanding between the parties hereto with respect to the subject matter hereof and supersedes all prior or contemporaneous agreements or understandings with respect to thereto. This Agreement cannot be changed, modified, extended, waived or terminated except upon a written instrument signed by the party against which it is to be enforced. Executive may not assign any of Executive’s rights or obligations under this Agreement. The Company shall assign its rights and obligations under this Agreement to any successor to all or substantially all of its assets or business by means of liquidation, dissolution, merger, consolidation, transfer of assets, stock transfer or otherwise.</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17.</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or application thereof to anyone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 In addition, if any court determines that any part of Sections 7, 8 or 9 hereof is unenforceable because of its duration, geographical scope or otherwise, such court will have the power to modify such provision and, in its modified form, such provision will then be enforceable.</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18.</w:t>
      </w:r>
      <w:r>
        <w:rPr>
          <w:rFonts w:ascii="Times New Roman;serif" w:hAnsi="Times New Roman;serif"/>
          <w:b w:val="false"/>
          <w:color w:val="000000"/>
          <w:sz w:val="24"/>
          <w:u w:val="single"/>
        </w:rPr>
        <w:t>Remedies</w:t>
      </w:r>
      <w:r>
        <w:rPr>
          <w:rFonts w:ascii="Times New Roman;serif" w:hAnsi="Times New Roman;serif"/>
          <w:b w:val="false"/>
          <w:color w:val="000000"/>
          <w:sz w:val="24"/>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 Executive acknowledges that money damages would not be a sufficient remedy for any breach of this Agreement by Executive and that the Company shall be entitled to specific performance and injunctive relief as remedies for any such breach, in addition to all other remedies available at law or equity to the Company.</w:t>
      </w:r>
    </w:p>
    <w:p>
      <w:pPr>
        <w:pStyle w:val="TextBody"/>
        <w:bidi w:val="0"/>
        <w:spacing w:lineRule="auto" w:line="266" w:before="260" w:after="240"/>
        <w:ind w:left="0" w:right="0" w:firstLine="720"/>
        <w:jc w:val="left"/>
        <w:rPr/>
      </w:pPr>
      <w:r>
        <w:rPr>
          <w:rFonts w:ascii="Times New Roman;serif" w:hAnsi="Times New Roman;serif"/>
          <w:b w:val="false"/>
          <w:color w:val="010000"/>
          <w:sz w:val="24"/>
        </w:rPr>
        <w:t>19.</w:t>
      </w:r>
      <w:r>
        <w:rPr>
          <w:rFonts w:ascii="Times New Roman;serif" w:hAnsi="Times New Roman;serif"/>
          <w:b w:val="false"/>
          <w:color w:val="000000"/>
          <w:sz w:val="24"/>
          <w:u w:val="single"/>
        </w:rPr>
        <w:t>Construction</w:t>
      </w:r>
      <w:r>
        <w:rPr>
          <w:rFonts w:ascii="Times New Roman;serif" w:hAnsi="Times New Roman;serif"/>
          <w:b w:val="false"/>
          <w:color w:val="000000"/>
          <w:sz w:val="24"/>
        </w:rPr>
        <w:t>. This Agreement is the result of thoughtful negotiations and reflects an arms’ length bargain between two sophisticated parties, each with an opportunity to be represented by counsel. The parties agree that, if this Agreement requires interpretation, neither party should be considered “the drafter” nor be entitled to any presumption that any ambiguities are to be resolved in such party’s favor.</w:t>
      </w:r>
    </w:p>
    <w:p>
      <w:pPr>
        <w:pStyle w:val="TextBody"/>
        <w:bidi w:val="0"/>
        <w:spacing w:lineRule="auto" w:line="266" w:before="260" w:after="240"/>
        <w:ind w:left="0" w:right="0" w:firstLine="720"/>
        <w:jc w:val="left"/>
        <w:rPr/>
      </w:pPr>
      <w:r>
        <w:rPr>
          <w:rFonts w:ascii="Times New Roman;serif" w:hAnsi="Times New Roman;serif"/>
          <w:b w:val="false"/>
          <w:color w:val="010000"/>
          <w:sz w:val="24"/>
        </w:rPr>
        <w:t>20.</w:t>
      </w:r>
      <w:r>
        <w:rPr>
          <w:rFonts w:ascii="Times New Roman;serif" w:hAnsi="Times New Roman;serif"/>
          <w:b w:val="false"/>
          <w:color w:val="000000"/>
          <w:sz w:val="24"/>
          <w:u w:val="single"/>
        </w:rPr>
        <w:t>Beneficiaries/References</w:t>
      </w:r>
      <w:r>
        <w:rPr>
          <w:rFonts w:ascii="Times New Roman;serif" w:hAnsi="Times New Roman;serif"/>
          <w:b w:val="false"/>
          <w:color w:val="000000"/>
          <w:sz w:val="24"/>
        </w:rPr>
        <w:t>. Executive shall be entitled, to the extent permitted under any applicable law, to select and change a beneficiary or beneficiaries to receive any compensation or benefit payable under this Agreement following Executive’s death or incapacity by giving the Company written notice thereof. In the event of Executive’s death or a judicial determination of Executive’s incompetence, reference in this Agreement to Executive shall be deemed, where appropriate, to refer to Executive’s beneficiary, estate or other legal representative. Except as provided in this provision or Company affiliates, no third party beneficiaries are intended.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ind w:left="0" w:right="0" w:firstLine="720"/>
        <w:jc w:val="left"/>
        <w:rPr/>
      </w:pPr>
      <w:r>
        <w:rPr>
          <w:rFonts w:ascii="Times New Roman;serif" w:hAnsi="Times New Roman;serif"/>
          <w:b w:val="false"/>
          <w:color w:val="010000"/>
          <w:sz w:val="24"/>
        </w:rPr>
        <w:t>21.</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w:t>
      </w:r>
    </w:p>
    <w:p>
      <w:pPr>
        <w:pStyle w:val="TextBody"/>
        <w:bidi w:val="0"/>
        <w:spacing w:lineRule="auto" w:line="266" w:before="260" w:after="240"/>
        <w:ind w:left="0" w:right="0" w:firstLine="720"/>
        <w:jc w:val="left"/>
        <w:rPr/>
      </w:pPr>
      <w:r>
        <w:rPr>
          <w:rFonts w:ascii="Times New Roman;serif" w:hAnsi="Times New Roman;serif"/>
          <w:b w:val="false"/>
          <w:color w:val="010000"/>
          <w:sz w:val="24"/>
        </w:rPr>
        <w:t>22.</w:t>
      </w:r>
      <w:r>
        <w:rPr>
          <w:rFonts w:ascii="Times New Roman;serif" w:hAnsi="Times New Roman;serif"/>
          <w:b w:val="false"/>
          <w:color w:val="000000"/>
          <w:sz w:val="24"/>
          <w:u w:val="single"/>
        </w:rPr>
        <w:t>Regulatory Compliance</w:t>
      </w:r>
      <w:r>
        <w:rPr>
          <w:rFonts w:ascii="Times New Roman;serif" w:hAnsi="Times New Roman;serif"/>
          <w:b w:val="false"/>
          <w:color w:val="000000"/>
          <w:sz w:val="24"/>
        </w:rPr>
        <w:t>. The terms and provisions hereof shall be conditioned on and subject to compliance with all laws, rules, and regulations of all jurisdictions, or agencies, boards or commissions thereof, having regulatory jurisdiction over the employment or activities of Executive hereunder.</w:t>
      </w:r>
    </w:p>
    <w:p>
      <w:pPr>
        <w:pStyle w:val="TextBody"/>
        <w:bidi w:val="0"/>
        <w:spacing w:lineRule="auto" w:line="266" w:before="260" w:after="240"/>
        <w:ind w:left="0" w:right="0" w:firstLine="720"/>
        <w:jc w:val="left"/>
        <w:rPr/>
      </w:pPr>
      <w:r>
        <w:rPr>
          <w:rFonts w:ascii="Times New Roman;serif" w:hAnsi="Times New Roman;serif"/>
          <w:b w:val="false"/>
          <w:color w:val="010000"/>
          <w:sz w:val="24"/>
        </w:rPr>
        <w:t>23.</w:t>
      </w:r>
      <w:r>
        <w:rPr>
          <w:rFonts w:ascii="Times New Roman;serif" w:hAnsi="Times New Roman;serif"/>
          <w:b w:val="false"/>
          <w:color w:val="000000"/>
          <w:sz w:val="24"/>
          <w:u w:val="single"/>
        </w:rPr>
        <w:t>Section 409A</w:t>
      </w:r>
      <w:r>
        <w:rPr>
          <w:rFonts w:ascii="Times New Roman;serif" w:hAnsi="Times New Roman;serif"/>
          <w:b w:val="false"/>
          <w:color w:val="000000"/>
          <w:sz w:val="24"/>
        </w:rPr>
        <w:t>. Any amounts that constitute nonqualified deferred compensation as defined in Section 409A that become payable upon a termination of employment shall be payable only if such termination of employment constitutes a separation from service (as defined in Section 409A). The payments due under this Agreement are intended to be exempt from Code Section 409A, but to the extent that such payments are not exempt, this Agreement is intended to comply with the requirements of Section 409A and shall be construed accordingly. Any payments or distributions to be made to Executive under this Agreement upon a separation from service (as defined in Section 409A) of amounts classified as “nonqualified deferred compensation” for purposes of Code Section 409A and do not satisfy an exemption from the time and form of payment requirements of Section 409A, shall in no event be made or commence until six months after such separation from service (or, if earlier, the date of Executive’s death) if Executive is a specified employee (as defined in Section 409A). Each payment (including each severance installment payment) under this Agreement shall be treated as a separate payment for purposes of Code Section 409A. Any reimbursements made pursuant to this Agreement shall be paid as soon as practicable but no later than 90 days after Executive submits evidence of such expenses to the Company (which payment date shall in no event be later than the last day of the calendar year following the calendar year in which the expense was incurred). The amount of such reimbursements during any calendar year shall not affect the benefits provided in any other calendar year, and the right to any such benefits shall not be subject to liquidation or exchange for another benefit. Notwithstanding anything herein to the contrary, the Company shall not have any liability to the Executive or to any other person if the payments and benefits provided in this Agreement that are intended to be exempt from or compliant with Code Section 409A are not so exempt or compliant. For purposes of this Agreement, “409A CoC” means a Change of Control that is also a change in the ownership or effective control of the Company, or in the ownership of a substantial portion of the assets of the Company as defined in Section 409A.</w:t>
      </w:r>
    </w:p>
    <w:p>
      <w:pPr>
        <w:pStyle w:val="TextBody"/>
        <w:bidi w:val="0"/>
        <w:spacing w:lineRule="auto" w:line="266" w:before="260" w:after="240"/>
        <w:ind w:left="0" w:right="0" w:firstLine="720"/>
        <w:jc w:val="left"/>
        <w:rPr/>
      </w:pPr>
      <w:r>
        <w:rPr>
          <w:rFonts w:ascii="Times New Roman;serif" w:hAnsi="Times New Roman;serif"/>
          <w:b w:val="false"/>
          <w:color w:val="010000"/>
          <w:sz w:val="24"/>
        </w:rPr>
        <w:t>24.</w:t>
      </w:r>
      <w:r>
        <w:rPr>
          <w:rFonts w:ascii="Times New Roman;serif" w:hAnsi="Times New Roman;serif"/>
          <w:b w:val="false"/>
          <w:color w:val="000000"/>
          <w:sz w:val="24"/>
          <w:u w:val="single"/>
        </w:rPr>
        <w:t>Defend Trade Secrets Act</w:t>
      </w:r>
      <w:r>
        <w:rPr>
          <w:rFonts w:ascii="Times New Roman;serif" w:hAnsi="Times New Roman;serif"/>
          <w:b w:val="false"/>
          <w:color w:val="000000"/>
          <w:sz w:val="24"/>
        </w:rPr>
        <w:t xml:space="preserve">. Pursuant to the Defend Trade Secrets Act of 2016, Executive acknowledges that Executive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Executive files a lawsuit for retaliation by the Company for reporting a suspected violation of law, Executive may disclose the trade secret to Executive’s attorney, and may use the trade secret information in the court proceeding, if Executive (X) files any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260" w:after="240"/>
        <w:jc w:val="left"/>
        <w:rPr>
          <w:rFonts w:ascii="Times New Roman;serif" w:hAnsi="Times New Roman;serif"/>
          <w:b w:val="false"/>
          <w:color w:val="000000"/>
          <w:sz w:val="24"/>
        </w:rPr>
      </w:pPr>
      <w:r>
        <w:rPr>
          <w:rFonts w:ascii="Times New Roman;serif" w:hAnsi="Times New Roman;serif"/>
          <w:b w:val="false"/>
          <w:color w:val="000000"/>
          <w:sz w:val="24"/>
        </w:rPr>
        <w:t>containing the trade secret under seal, and (Y) does not disclose the trade secret, except pursuant to court order.</w:t>
      </w:r>
    </w:p>
    <w:p>
      <w:pPr>
        <w:pStyle w:val="TextBody"/>
        <w:bidi w:val="0"/>
        <w:spacing w:lineRule="auto" w:line="266" w:before="260" w:after="240"/>
        <w:ind w:left="0" w:right="0" w:firstLine="720"/>
        <w:jc w:val="left"/>
        <w:rPr/>
      </w:pPr>
      <w:r>
        <w:rPr>
          <w:rFonts w:ascii="Times New Roman;serif" w:hAnsi="Times New Roman;serif"/>
          <w:b w:val="false"/>
          <w:color w:val="010000"/>
          <w:sz w:val="24"/>
        </w:rPr>
        <w:t>25.</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Executive acknowledges that he has reviewed the Company’s Clawback Policy and agrees to be bound by it, as in effect on the date hereof, but including any changes to the policy made to comply with applicable regulatory requirements.</w:t>
      </w:r>
    </w:p>
    <w:p>
      <w:pPr>
        <w:pStyle w:val="TextBody"/>
        <w:bidi w:val="0"/>
        <w:spacing w:lineRule="auto" w:line="266" w:before="260" w:after="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[Signature page to follow]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intending to be legally bound, have executed this Agreement as of the date first above written.</w:t>
      </w:r>
    </w:p>
    <w:tbl>
      <w:tblPr>
        <w:tblW w:w="4886" w:type="dxa"/>
        <w:jc w:val="left"/>
        <w:tblInd w:w="0" w:type="dxa"/>
        <w:tblLayout w:type="fixed"/>
        <w:tblCellMar>
          <w:top w:w="28" w:type="dxa"/>
          <w:left w:w="28" w:type="dxa"/>
          <w:bottom w:w="28" w:type="dxa"/>
          <w:right w:w="28" w:type="dxa"/>
        </w:tblCellMar>
      </w:tblPr>
      <w:tblGrid>
        <w:gridCol w:w="124"/>
        <w:gridCol w:w="109"/>
        <w:gridCol w:w="109"/>
        <w:gridCol w:w="707"/>
        <w:gridCol w:w="707"/>
        <w:gridCol w:w="707"/>
        <w:gridCol w:w="707"/>
        <w:gridCol w:w="707"/>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PENN ENTERTAINMENT, INC.</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Jay Snowden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Jay Snowden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Chief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 Todd George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Todd George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0" w:after="30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66" w:before="0" w:after="30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w:t>
      </w:r>
    </w:p>
    <w:p>
      <w:pPr>
        <w:pStyle w:val="TextBody"/>
        <w:bidi w:val="0"/>
        <w:spacing w:lineRule="auto" w:line="266" w:before="0" w:after="3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is a Separation Agreement and General Release (hereinafter referred to as the “Agreement”) between __________ (hereinafter referred to as the “Employee”) and _______ and its affiliates (hereinafter referred to as the “Employer”). In consideration of the mutual promises and commitments made in this Agreement, and intending to be legally bound, Employee, on the one hand, and the Employer on the other hand, agree to the terms set forth in this Agreement.</w:t>
      </w:r>
    </w:p>
    <w:p>
      <w:pPr>
        <w:pStyle w:val="TextBody"/>
        <w:bidi w:val="0"/>
        <w:spacing w:lineRule="auto" w:line="266" w:before="0" w:after="300"/>
        <w:ind w:left="0" w:right="0" w:firstLine="720"/>
        <w:jc w:val="left"/>
        <w:rPr/>
      </w:pPr>
      <w:r>
        <w:rPr>
          <w:rFonts w:ascii="Times New Roman;serif" w:hAnsi="Times New Roman;serif"/>
          <w:b w:val="false"/>
          <w:color w:val="010000"/>
          <w:sz w:val="24"/>
        </w:rPr>
        <w:t>1.</w:t>
      </w:r>
      <w:r>
        <w:rPr>
          <w:rFonts w:ascii="Times New Roman;serif" w:hAnsi="Times New Roman;serif"/>
          <w:b w:val="false"/>
          <w:color w:val="000000"/>
          <w:sz w:val="24"/>
        </w:rPr>
        <w:t>Employee is party to an Executive Agreement dated [DATE] (the “Executive Agreement”). Employer and Employee hereby acknowledge that Employee’s employment was terminated on [DATE].</w:t>
      </w:r>
    </w:p>
    <w:p>
      <w:pPr>
        <w:pStyle w:val="TextBody"/>
        <w:bidi w:val="0"/>
        <w:spacing w:lineRule="auto" w:line="266" w:before="0" w:after="300"/>
        <w:ind w:left="0" w:right="0" w:firstLine="720"/>
        <w:jc w:val="left"/>
        <w:rPr/>
      </w:pPr>
      <w:r>
        <w:rPr>
          <w:rFonts w:ascii="Times New Roman;serif" w:hAnsi="Times New Roman;serif"/>
          <w:b w:val="false"/>
          <w:color w:val="010000"/>
          <w:sz w:val="24"/>
        </w:rPr>
        <w:t>2.</w:t>
      </w:r>
      <w:r>
        <w:rPr>
          <w:rFonts w:ascii="Times New Roman;serif" w:hAnsi="Times New Roman;serif"/>
          <w:b w:val="false"/>
          <w:color w:val="000000"/>
          <w:sz w:val="24"/>
        </w:rPr>
        <w:t>(a)    Following the execution of this Agreement, Employee will be entitled to the post-employment benefits and subject to the post-employment responsibilities set forth in Employee’s Executive Agreement.</w:t>
      </w:r>
    </w:p>
    <w:p>
      <w:pPr>
        <w:pStyle w:val="TextBody"/>
        <w:bidi w:val="0"/>
        <w:spacing w:lineRule="auto" w:line="266" w:before="0" w:after="30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If Employee accepts any employment with the Employer, or an affiliate or related entity of the Employer, and becomes reemployed by the Employer or an affiliate or related entity of the Employer during the Severance Period (as defined in the Executive Agreement), Employee acknowledges and agrees that Employee will forfeit all future severance payments from the date on which reemployment commences.</w:t>
      </w:r>
    </w:p>
    <w:p>
      <w:pPr>
        <w:pStyle w:val="TextBody"/>
        <w:bidi w:val="0"/>
        <w:spacing w:lineRule="auto" w:line="266" w:before="0" w:after="300"/>
        <w:ind w:left="0" w:right="0" w:firstLine="720"/>
        <w:jc w:val="left"/>
        <w:rPr/>
      </w:pPr>
      <w:r>
        <w:rPr>
          <w:rFonts w:ascii="Times New Roman;serif" w:hAnsi="Times New Roman;serif"/>
          <w:b w:val="false"/>
          <w:color w:val="010000"/>
          <w:sz w:val="24"/>
        </w:rPr>
        <w:t>3.</w:t>
      </w:r>
      <w:r>
        <w:rPr>
          <w:rFonts w:ascii="Times New Roman;serif" w:hAnsi="Times New Roman;serif"/>
          <w:b w:val="false"/>
          <w:color w:val="000000"/>
          <w:sz w:val="24"/>
        </w:rPr>
        <w:t>(a)    When used in this Agreement, the word “Releasees” means the Employer and all or any of its past and present parent, subsidiary and affiliated corporations, members, companies, partnerships, joint ventures and other entities and their groups, divisions, departments and units, and their past and present directors, trustees, officers, managers, partners, supervisors, employees, attorneys, agents and consultants, and their predecessors, successors and assigns.</w:t>
      </w:r>
    </w:p>
    <w:p>
      <w:pPr>
        <w:pStyle w:val="TextBody"/>
        <w:bidi w:val="0"/>
        <w:spacing w:lineRule="auto" w:line="266" w:before="0" w:after="30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When used in this Agreement, the word “Claims” means each and every claim, complaint, cause of action, and grievance, whether known or unknown and whether fixed or contingent, and each and every promise, assurance, contract, representation, guarantee, warranty, right and commitment of any kind, whether known or unknown and whether fixed or contingent.</w:t>
      </w:r>
    </w:p>
    <w:p>
      <w:pPr>
        <w:pStyle w:val="TextBody"/>
        <w:bidi w:val="0"/>
        <w:spacing w:lineRule="auto" w:line="266" w:before="0" w:after="300"/>
        <w:ind w:left="0" w:right="0" w:firstLine="720"/>
        <w:jc w:val="left"/>
        <w:rPr/>
      </w:pPr>
      <w:r>
        <w:rPr>
          <w:rFonts w:ascii="Times New Roman;serif" w:hAnsi="Times New Roman;serif"/>
          <w:b w:val="false"/>
          <w:color w:val="010000"/>
          <w:sz w:val="24"/>
        </w:rPr>
        <w:t>4.</w:t>
      </w:r>
      <w:r>
        <w:rPr>
          <w:rFonts w:ascii="Times New Roman;serif" w:hAnsi="Times New Roman;serif"/>
          <w:b w:val="false"/>
          <w:color w:val="000000"/>
          <w:sz w:val="24"/>
        </w:rPr>
        <w:t xml:space="preserve">In consideration of the promises of the Employer set forth in this Agreement and the Executive Agreement, and intending to be legally bound, Employee hereby irrevocably remises, releases and forever discharges all Releasees of and from any and all Claims that Employee (on behalf of either Employee or any other person or persons) ever had or now has against any and all of the Releasees, or which Employee (or Employee’s heirs, executors, administrators or assigns or any of them) hereafter can, shall or may have against any and all of the Releasees, for or by reason of any cause, matter, thing, occurrence or event whatsoever through the effective date of this Agreement. Employee acknowledges and agrees that the Claims released in this paragraph include, but are not limited to, (a) any and all Claims based on any law, statute or constitution or based on contract or in tort on common law, and (b) any and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6" w:before="0" w:after="300"/>
        <w:jc w:val="left"/>
        <w:rPr/>
      </w:pPr>
      <w:r>
        <w:rPr>
          <w:rFonts w:ascii="Times New Roman;serif" w:hAnsi="Times New Roman;serif"/>
          <w:b w:val="false"/>
          <w:color w:val="000000"/>
          <w:sz w:val="24"/>
        </w:rPr>
        <w:t>all Claims based on or arising under any civil rights laws, such as any [STATE] employment laws, or Title VII of the Civil Rights Act of 1964 (42 U.S.C. § 2000e et seq.), or the Federal Age Discrimination in Employment Act (29 U.S.C. § 621 et seq.) (hereinafter referred to as the “ADEA”), and (c) any and all Claims under any grievance or complaint procedure of any kind, and (d) any and all Claims based on or arising out of or related to Employee’s recruitment by, employment with, the termination of Employee’s employment with, Employee’s performance of any services in any capacity for, or any other arrangement or transaction with, each or any of the Releasees. Employee also understands, that by signing this Agreement, Employee is waiving all Claims against any and all of the Releasees released by this Agreement; provided, however, that as set forth in section 7 (f) (1) (c) of the ADEA, as added by the Older Workers Benefit Protection Act of 1990, nothing in this Agreement constitutes or shall (i) be construed to constitute a waiver by Employee of any rights or claims that may arise after this Agreement is executed by Employee, or (ii) impair Employee’s right to file a charge with the U.S. Securities and Exchange Commission (“SEC”), the U.S. Equal Employment Opportunity Commission (“EEOC”), the National Labor Relations Board (“NLRB”) or any state agency or to participate in an investigation or proceeding conducted by the SEC, EEOC, NLRB or any state agency or as otherwise required by law. Notwithstanding the foregoing, Employee agrees to waive Employee’s right to recover individual relief in any charge, complaint, or lawsuit filed by Employee or anyone on Employee’s behalf, except that this does not waive the Employee’s ability to obtain monetary awards from the SEC’s whistleblower program. Notwithstanding anything to the contrary set forth in this Section 4, Executive does not release, waive, or discharge Releasees from (i) any Claims to seek to enforce Executive’s rights under Section 5(a)-(c) of the Employment Agreement, (ii) any Claims for indemnification (including advancement of expenses) or contribution with respect to any liability incurred by Executive as a director or officer of the Company, (iii) any rights or Claims under any directors and officers insurance policy maintained by the Company [or (iv) any rights or Claims as a security holder in the Company or its affiliates or with respect to equity or equity-based compensation awards].</w:t>
      </w:r>
      <w:r>
        <w:rPr>
          <w:rFonts w:ascii="Times New Roman;serif" w:hAnsi="Times New Roman;serif"/>
          <w:b w:val="false"/>
          <w:color w:val="000000"/>
          <w:sz w:val="16"/>
        </w:rPr>
        <w:t>1</w:t>
      </w:r>
    </w:p>
    <w:p>
      <w:pPr>
        <w:pStyle w:val="TextBody"/>
        <w:bidi w:val="0"/>
        <w:spacing w:lineRule="auto" w:line="266" w:before="0" w:after="300"/>
        <w:ind w:left="0" w:right="0" w:firstLine="720"/>
        <w:jc w:val="left"/>
        <w:rPr/>
      </w:pPr>
      <w:r>
        <w:rPr>
          <w:rFonts w:ascii="Times New Roman;serif" w:hAnsi="Times New Roman;serif"/>
          <w:b w:val="false"/>
          <w:color w:val="010000"/>
          <w:sz w:val="24"/>
        </w:rPr>
        <w:t>5.</w:t>
      </w:r>
      <w:r>
        <w:rPr>
          <w:rFonts w:ascii="Times New Roman;serif" w:hAnsi="Times New Roman;serif"/>
          <w:b w:val="false"/>
          <w:color w:val="000000"/>
          <w:sz w:val="24"/>
        </w:rPr>
        <w:t>Employee further certifies that Employee is not aware of any actual or attempted regulatory, SEC, EEOC or other legal violations by Employer and that Employee’s separation is not a result of retaliation based on any legal rights or opposition to an illegal practice.</w:t>
      </w:r>
    </w:p>
    <w:p>
      <w:pPr>
        <w:pStyle w:val="TextBody"/>
        <w:bidi w:val="0"/>
        <w:spacing w:lineRule="auto" w:line="266" w:before="0" w:after="300"/>
        <w:ind w:left="0" w:right="0" w:firstLine="720"/>
        <w:jc w:val="left"/>
        <w:rPr/>
      </w:pPr>
      <w:r>
        <w:rPr>
          <w:rFonts w:ascii="Times New Roman;serif" w:hAnsi="Times New Roman;serif"/>
          <w:b w:val="false"/>
          <w:color w:val="010000"/>
          <w:sz w:val="24"/>
        </w:rPr>
        <w:t>6.</w:t>
      </w:r>
      <w:r>
        <w:rPr>
          <w:rFonts w:ascii="Times New Roman;serif" w:hAnsi="Times New Roman;serif"/>
          <w:b w:val="false"/>
          <w:color w:val="000000"/>
          <w:sz w:val="24"/>
        </w:rPr>
        <w:t>Employee covenants and agrees not to sue the Releasees and each or any of them for any Claims released by this Agreement and to waive any recovery related to any Claims covered by this Agreement.</w:t>
      </w:r>
    </w:p>
    <w:p>
      <w:pPr>
        <w:pStyle w:val="TextBody"/>
        <w:bidi w:val="0"/>
        <w:spacing w:lineRule="auto" w:line="266" w:before="0" w:after="300"/>
        <w:ind w:left="0" w:right="0" w:firstLine="720"/>
        <w:jc w:val="left"/>
        <w:rPr/>
      </w:pPr>
      <w:r>
        <w:rPr>
          <w:rFonts w:ascii="Times New Roman;serif" w:hAnsi="Times New Roman;serif"/>
          <w:b w:val="false"/>
          <w:color w:val="010000"/>
          <w:sz w:val="24"/>
        </w:rPr>
        <w:t>7.</w:t>
      </w:r>
      <w:r>
        <w:rPr>
          <w:rFonts w:ascii="Times New Roman;serif" w:hAnsi="Times New Roman;serif"/>
          <w:b w:val="false"/>
          <w:color w:val="000000"/>
          <w:sz w:val="24"/>
        </w:rPr>
        <w:t xml:space="preserve">Pursuant to the Defend Trade Secrets Act of 2016, Employee acknowledges that Employee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by the Company for reporting a suspected violation of law, Employee may disclose the trade secret to Employee’s attorney, and may use the trade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Inclusion of bracketed language subject to whether or not separation terms address treatment of then outstanding equity awards.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0" w:after="300"/>
        <w:jc w:val="left"/>
        <w:rPr>
          <w:rFonts w:ascii="Times New Roman;serif" w:hAnsi="Times New Roman;serif"/>
          <w:b w:val="false"/>
          <w:color w:val="000000"/>
          <w:sz w:val="24"/>
        </w:rPr>
      </w:pPr>
      <w:r>
        <w:rPr>
          <w:rFonts w:ascii="Times New Roman;serif" w:hAnsi="Times New Roman;serif"/>
          <w:b w:val="false"/>
          <w:color w:val="000000"/>
          <w:sz w:val="24"/>
        </w:rPr>
        <w:t>secret information in the court proceeding, if Employee (X) files any document containing the trade secret under seal, and (Y) does not disclose the trade secret, except pursuant to court order.</w:t>
      </w:r>
    </w:p>
    <w:p>
      <w:pPr>
        <w:pStyle w:val="TextBody"/>
        <w:bidi w:val="0"/>
        <w:spacing w:lineRule="auto" w:line="266" w:before="0" w:after="300"/>
        <w:ind w:left="0" w:right="0" w:firstLine="720"/>
        <w:jc w:val="left"/>
        <w:rPr/>
      </w:pPr>
      <w:r>
        <w:rPr>
          <w:rFonts w:ascii="Times New Roman;serif" w:hAnsi="Times New Roman;serif"/>
          <w:b w:val="false"/>
          <w:color w:val="010000"/>
          <w:sz w:val="24"/>
        </w:rPr>
        <w:t>8.</w:t>
      </w:r>
      <w:r>
        <w:rPr>
          <w:rFonts w:ascii="Times New Roman;serif" w:hAnsi="Times New Roman;serif"/>
          <w:b w:val="false"/>
          <w:color w:val="000000"/>
          <w:sz w:val="24"/>
        </w:rPr>
        <w:t>Employee agrees to provide reasonable transition assistance to Employer (including without limitation assistance on regulatory matters, operational matters and in connection with litigation) for a period of one year from the execution of this Agreement at no additional cost; provided, such assistance shall not unreasonably interfere with Employee’s pursuit of gainful employment or result in Employee not having a separation from service (as defined in Section 409A of the Internal Revenue Code of 1986). Any assistance beyond this period will be provided at a mutually agreed cost.</w:t>
      </w:r>
    </w:p>
    <w:p>
      <w:pPr>
        <w:pStyle w:val="TextBody"/>
        <w:bidi w:val="0"/>
        <w:spacing w:lineRule="auto" w:line="266" w:before="0" w:after="300"/>
        <w:ind w:left="0" w:right="0" w:firstLine="720"/>
        <w:jc w:val="left"/>
        <w:rPr/>
      </w:pPr>
      <w:r>
        <w:rPr>
          <w:rFonts w:ascii="Times New Roman;serif" w:hAnsi="Times New Roman;serif"/>
          <w:b w:val="false"/>
          <w:color w:val="010000"/>
          <w:sz w:val="24"/>
        </w:rPr>
        <w:t>9.</w:t>
      </w:r>
      <w:r>
        <w:rPr>
          <w:rFonts w:ascii="Times New Roman;serif" w:hAnsi="Times New Roman;serif"/>
          <w:b w:val="false"/>
          <w:color w:val="000000"/>
          <w:sz w:val="24"/>
        </w:rPr>
        <w:t>Employee agrees that, except as specifically provided in this Agreement, there is no compensation, benefits, or other payments due or owed to Employee by each or any of the Releasees, including, without limitation, the Employer, and there are no payments due or owed to Employee in connection with Employee’s employment by or the termination of Employee’s employment with each or any of the Releasees, including without limitation, [any interest in unvested options, SARs, restricted stock or other equity issued to, expected by or contemplated by any of the Releasees (which interest is specifically released herein)]</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or any other benefits (including, without limitation, any other severance benefits). For clarity, Employee acknowledges that upon Employee’s separation date, Employee has no further rights under any bonus arrangement or option plan of Employer. Employee further acknowledges that Employee has not experienced or reported any work-related injury or illness.</w:t>
      </w:r>
    </w:p>
    <w:p>
      <w:pPr>
        <w:pStyle w:val="TextBody"/>
        <w:bidi w:val="0"/>
        <w:spacing w:lineRule="auto" w:line="266" w:before="0" w:after="300"/>
        <w:ind w:left="0" w:right="0" w:firstLine="720"/>
        <w:jc w:val="left"/>
        <w:rPr/>
      </w:pPr>
      <w:r>
        <w:rPr>
          <w:rFonts w:ascii="Times New Roman;serif" w:hAnsi="Times New Roman;serif"/>
          <w:b w:val="false"/>
          <w:color w:val="010000"/>
          <w:sz w:val="24"/>
        </w:rPr>
        <w:t>10.</w:t>
      </w:r>
      <w:r>
        <w:rPr>
          <w:rFonts w:ascii="Times New Roman;serif" w:hAnsi="Times New Roman;serif"/>
          <w:b w:val="false"/>
          <w:color w:val="000000"/>
          <w:sz w:val="24"/>
        </w:rPr>
        <w:t>Except where the Employer has disclosed or is required to disclose the terms of this Agreement pursuant to applicable federal or state law, rule or regulatory practice, Employer and Employee agree that the terms of this Agreement are confidential. Employee will not disclose or publicize the terms of this Agreement and the amounts paid or agreed to be paid pursuant to this Agreement to any person or entity, except to Employee’s spouse, Employee’s attorney, Employee’s accountant, and to a government agency for the purpose of payment or collection of taxes or application for unemployment compensation benefits. Employee agrees that Employee’s disclosure of the terms of this Agreement to Employee’s spouse, Employee’s attorney and Employee’s accountant shall be conditioned upon Employee obtaining agreement from them, for the benefit of the Employer, not to disclose or publicize to any person or entity the terms of this Agreement and the amounts paid or agreed to be paid under this Agreement. Employee understands that, notwithstanding any provisions of this Agreement, Employee is not prohibited or in any way restricted from reporting possible violations of law to a government agency or entity, and Employee is not required to inform Employer if Employee makes such reports.</w:t>
      </w:r>
    </w:p>
    <w:p>
      <w:pPr>
        <w:pStyle w:val="TextBody"/>
        <w:bidi w:val="0"/>
        <w:spacing w:lineRule="auto" w:line="266" w:before="0" w:after="300"/>
        <w:ind w:left="0" w:right="0" w:firstLine="720"/>
        <w:jc w:val="left"/>
        <w:rPr/>
      </w:pPr>
      <w:r>
        <w:rPr>
          <w:rFonts w:ascii="Times New Roman;serif" w:hAnsi="Times New Roman;serif"/>
          <w:b w:val="false"/>
          <w:color w:val="010000"/>
          <w:sz w:val="24"/>
        </w:rPr>
        <w:t>11.</w:t>
      </w:r>
      <w:r>
        <w:rPr>
          <w:rFonts w:ascii="Times New Roman;serif" w:hAnsi="Times New Roman;serif"/>
          <w:b w:val="false"/>
          <w:color w:val="000000"/>
          <w:sz w:val="24"/>
        </w:rPr>
        <w:t xml:space="preserve">Employee agrees not to make any false, misleading, defamatory or disparaging statements, including in blogs, posts on Facebook, twitter, other forms of social media or any such similar communications, about Employer (including without limitation Employer’s products, services, partners, investors or personnel) and to refrain from taking any action designed to harm the public perception of the Employer or any of the Releasees. Employee further agrees that Employee has disclosed to Employer all information, if any, in Employee’s </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Inclusion of bracketed language subject to whether or not separation terms address treatment of then outstanding equity awards.</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A-3</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0" w:after="300"/>
        <w:jc w:val="left"/>
        <w:rPr>
          <w:rFonts w:ascii="Times New Roman;serif" w:hAnsi="Times New Roman;serif"/>
          <w:b w:val="false"/>
          <w:color w:val="000000"/>
          <w:sz w:val="24"/>
        </w:rPr>
      </w:pPr>
      <w:r>
        <w:rPr>
          <w:rFonts w:ascii="Times New Roman;serif" w:hAnsi="Times New Roman;serif"/>
          <w:b w:val="false"/>
          <w:color w:val="000000"/>
          <w:sz w:val="24"/>
        </w:rPr>
        <w:t>possession, custody or control related to any legal, compliance or regulatory obligations of Employer and any failures to meet such obligations.</w:t>
      </w:r>
    </w:p>
    <w:p>
      <w:pPr>
        <w:pStyle w:val="TextBody"/>
        <w:bidi w:val="0"/>
        <w:spacing w:lineRule="auto" w:line="266" w:before="0" w:after="300"/>
        <w:ind w:left="0" w:right="0" w:firstLine="720"/>
        <w:jc w:val="left"/>
        <w:rPr/>
      </w:pPr>
      <w:r>
        <w:rPr>
          <w:rFonts w:ascii="Times New Roman;serif" w:hAnsi="Times New Roman;serif"/>
          <w:b w:val="false"/>
          <w:color w:val="010000"/>
          <w:sz w:val="24"/>
        </w:rPr>
        <w:t>12.</w:t>
      </w:r>
      <w:r>
        <w:rPr>
          <w:rFonts w:ascii="Times New Roman;serif" w:hAnsi="Times New Roman;serif"/>
          <w:b w:val="false"/>
          <w:color w:val="000000"/>
          <w:sz w:val="24"/>
        </w:rPr>
        <w:t>The terms of this Agreement are not to be considered as an admission on behalf of either party. Neither this Agreement nor its terms shall be admissible as evidence of any liability or wrongdoing by each or any of the Releasees in any judicial, administrative or other proceeding now pending or hereafter instituted by any person or entity. The Employer is entering into this Agreement solely for the purpose of effectuating a mutually satisfactory separation of Employee’s employment.</w:t>
      </w:r>
    </w:p>
    <w:p>
      <w:pPr>
        <w:pStyle w:val="TextBody"/>
        <w:bidi w:val="0"/>
        <w:spacing w:lineRule="auto" w:line="266" w:before="0" w:after="300"/>
        <w:ind w:left="0" w:right="0" w:firstLine="720"/>
        <w:jc w:val="left"/>
        <w:rPr/>
      </w:pPr>
      <w:r>
        <w:rPr>
          <w:rFonts w:ascii="Times New Roman;serif" w:hAnsi="Times New Roman;serif"/>
          <w:b w:val="false"/>
          <w:color w:val="010000"/>
          <w:sz w:val="24"/>
        </w:rPr>
        <w:t>13.</w:t>
      </w:r>
      <w:r>
        <w:rPr>
          <w:rFonts w:ascii="Times New Roman;serif" w:hAnsi="Times New Roman;serif"/>
          <w:b w:val="false"/>
          <w:color w:val="000000"/>
          <w:sz w:val="24"/>
        </w:rPr>
        <w:t>Sections 13 and 14 (Governing Law, Jurisdiction) of the Executive Agreement shall also apply to this Agreement.</w:t>
      </w:r>
    </w:p>
    <w:p>
      <w:pPr>
        <w:pStyle w:val="TextBody"/>
        <w:bidi w:val="0"/>
        <w:spacing w:lineRule="auto" w:line="266" w:before="0" w:after="300"/>
        <w:ind w:left="0" w:right="0" w:firstLine="720"/>
        <w:jc w:val="left"/>
        <w:rPr/>
      </w:pPr>
      <w:r>
        <w:rPr>
          <w:rFonts w:ascii="Times New Roman;serif" w:hAnsi="Times New Roman;serif"/>
          <w:b w:val="false"/>
          <w:color w:val="010000"/>
          <w:sz w:val="24"/>
        </w:rPr>
        <w:t>14.</w:t>
      </w:r>
      <w:r>
        <w:rPr>
          <w:rFonts w:ascii="Times New Roman;serif" w:hAnsi="Times New Roman;serif"/>
          <w:b w:val="false"/>
          <w:color w:val="000000"/>
          <w:sz w:val="24"/>
        </w:rPr>
        <w:t>Along with the surviving provisions of the Executive Agreement, including but not limited to Sections 7 through 25, this Agreement constitutes a complete and final agreement between the parties and supersedes and replaces all prior or contemporaneous agreements, offer letters, severance policies and plans, negotiations, or discussions relating to the subject matter of this Agreement and no other agreement shall be binding upon each or any of the Releasees, including, but not limited to, any agreement made hereafter, unless in writing and signed by an officer of the Employer, and only such agreement shall be binding against the Employer. For the avoidance of doubt, nothing in this Agreement shall prevent Employee from obtaining employment following the Termination Date (as defined in the Executive Agreement) so long as such employment does not breach any of Sections 7, 8 or 9 of the Executive Agreement (“Permitted Post-Termination Employment”) and compensation from Permitted Post-Termination Employment shall not reduce the amount of any severance due to Employee pursuant to Section 5 of the Employment Agreement.</w:t>
      </w:r>
    </w:p>
    <w:p>
      <w:pPr>
        <w:pStyle w:val="TextBody"/>
        <w:bidi w:val="0"/>
        <w:spacing w:lineRule="auto" w:line="266" w:before="0" w:after="300"/>
        <w:ind w:left="0" w:right="0" w:firstLine="720"/>
        <w:jc w:val="left"/>
        <w:rPr/>
      </w:pPr>
      <w:r>
        <w:rPr>
          <w:rFonts w:ascii="Times New Roman;serif" w:hAnsi="Times New Roman;serif"/>
          <w:b w:val="false"/>
          <w:color w:val="010000"/>
          <w:sz w:val="24"/>
        </w:rPr>
        <w:t>15.</w:t>
      </w:r>
      <w:r>
        <w:rPr>
          <w:rFonts w:ascii="Times New Roman;serif" w:hAnsi="Times New Roman;serif"/>
          <w:b w:val="false"/>
          <w:color w:val="000000"/>
          <w:sz w:val="24"/>
        </w:rPr>
        <w:t>Employee is advised, and acknowledges that Employee has been advised, to consult with an attorney before signing this Agreement.</w:t>
      </w:r>
    </w:p>
    <w:p>
      <w:pPr>
        <w:pStyle w:val="TextBody"/>
        <w:bidi w:val="0"/>
        <w:spacing w:lineRule="auto" w:line="266" w:before="0" w:after="300"/>
        <w:ind w:left="0" w:right="0" w:firstLine="720"/>
        <w:jc w:val="left"/>
        <w:rPr/>
      </w:pPr>
      <w:r>
        <w:rPr>
          <w:rFonts w:ascii="Times New Roman;serif" w:hAnsi="Times New Roman;serif"/>
          <w:b w:val="false"/>
          <w:color w:val="010000"/>
          <w:sz w:val="24"/>
        </w:rPr>
        <w:t>16.</w:t>
      </w:r>
      <w:r>
        <w:rPr>
          <w:rFonts w:ascii="Times New Roman;serif" w:hAnsi="Times New Roman;serif"/>
          <w:b w:val="false"/>
          <w:color w:val="000000"/>
          <w:sz w:val="24"/>
        </w:rPr>
        <w:t>Employee acknowledges that Employee is signing this Agreement voluntarily, with full knowledge of the nature and consequences of its terms.</w:t>
      </w:r>
    </w:p>
    <w:p>
      <w:pPr>
        <w:pStyle w:val="TextBody"/>
        <w:bidi w:val="0"/>
        <w:spacing w:lineRule="auto" w:line="266" w:before="0" w:after="300"/>
        <w:ind w:left="0" w:right="0" w:firstLine="720"/>
        <w:jc w:val="left"/>
        <w:rPr/>
      </w:pPr>
      <w:r>
        <w:rPr>
          <w:rFonts w:ascii="Times New Roman;serif" w:hAnsi="Times New Roman;serif"/>
          <w:b w:val="false"/>
          <w:color w:val="010000"/>
          <w:sz w:val="24"/>
        </w:rPr>
        <w:t>17.</w:t>
      </w:r>
      <w:r>
        <w:rPr>
          <w:rFonts w:ascii="Times New Roman;serif" w:hAnsi="Times New Roman;serif"/>
          <w:b w:val="false"/>
          <w:color w:val="000000"/>
          <w:sz w:val="24"/>
        </w:rPr>
        <w:t>All executed copies of this Agreement and photocopies thereof shall have the same force and effect and shall be as legally binding and enforceable as the original.</w:t>
      </w:r>
    </w:p>
    <w:p>
      <w:pPr>
        <w:pStyle w:val="TextBody"/>
        <w:bidi w:val="0"/>
        <w:spacing w:lineRule="auto" w:line="266" w:before="0" w:after="300"/>
        <w:ind w:left="0" w:right="0" w:firstLine="720"/>
        <w:jc w:val="left"/>
        <w:rPr/>
      </w:pPr>
      <w:r>
        <w:rPr>
          <w:rFonts w:ascii="Times New Roman;serif" w:hAnsi="Times New Roman;serif"/>
          <w:b w:val="false"/>
          <w:color w:val="010000"/>
          <w:sz w:val="24"/>
        </w:rPr>
        <w:t>18.</w:t>
      </w:r>
      <w:r>
        <w:rPr>
          <w:rFonts w:ascii="Times New Roman;serif" w:hAnsi="Times New Roman;serif"/>
          <w:b w:val="false"/>
          <w:color w:val="000000"/>
          <w:sz w:val="24"/>
        </w:rPr>
        <w:t>Employee acknowledges that Employee has been given up to twenty-one (21) days within which to consider this Agreement before signing it. Subject to paragraph 19 below, this Agreement will become effective on the date of Employee’s signature hereof.</w:t>
      </w:r>
    </w:p>
    <w:p>
      <w:pPr>
        <w:pStyle w:val="TextBody"/>
        <w:bidi w:val="0"/>
        <w:spacing w:lineRule="auto" w:line="266" w:before="0" w:after="300"/>
        <w:ind w:left="0" w:right="0" w:firstLine="720"/>
        <w:jc w:val="left"/>
        <w:rPr/>
      </w:pPr>
      <w:r>
        <w:rPr>
          <w:rFonts w:ascii="Times New Roman;serif" w:hAnsi="Times New Roman;serif"/>
          <w:b w:val="false"/>
          <w:color w:val="010000"/>
          <w:sz w:val="24"/>
        </w:rPr>
        <w:t>19.</w:t>
      </w:r>
      <w:r>
        <w:rPr>
          <w:rFonts w:ascii="Times New Roman;serif" w:hAnsi="Times New Roman;serif"/>
          <w:b w:val="false"/>
          <w:color w:val="000000"/>
          <w:sz w:val="24"/>
        </w:rPr>
        <w:t xml:space="preserve">For a period of seven (7) calendar days following Employee’s signature of this Agreement, Employee may revoke the Agreement, and the Agreement shall not become effective or enforceable until the seven (7) day revocation period has expired. Employee may revoke this Agreement at any time within that seven (7) day period, by sending a written notice of revocation to the Human Resources Department of Employer. Such written notice must be actually received by the Employer within that seven (7) day period in order to be valid. If a valid revocation is received within that seven (7) day period, this Agreement shall be null and void for all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A-4</w:t>
                      </w:r>
                    </w:p>
                    <w:p>
                      <w:pPr>
                        <w:pStyle w:val="TextBody"/>
                        <w:bidi w:val="0"/>
                        <w:spacing w:before="0" w:after="0"/>
                        <w:jc w:val="right"/>
                        <w:rPr/>
                      </w:pPr>
                      <w:r>
                        <w:rPr/>
                      </w:r>
                    </w:p>
                  </w:txbxContent>
                </v:textbox>
                <w10:wrap type="none"/>
              </v:rect>
            </w:pict>
          </mc:Fallback>
        </mc:AlternateContent>
      </w:r>
    </w:p>
    <w:p>
      <w:pPr>
        <w:pStyle w:val="TextBody"/>
        <w:bidi w:val="0"/>
        <w:spacing w:lineRule="auto" w:line="266" w:before="0" w:after="300"/>
        <w:jc w:val="left"/>
        <w:rPr>
          <w:rFonts w:ascii="Times New Roman;serif" w:hAnsi="Times New Roman;serif"/>
          <w:b w:val="false"/>
          <w:color w:val="000000"/>
          <w:sz w:val="24"/>
        </w:rPr>
      </w:pPr>
      <w:r>
        <w:rPr>
          <w:rFonts w:ascii="Times New Roman;serif" w:hAnsi="Times New Roman;serif"/>
          <w:b w:val="false"/>
          <w:color w:val="000000"/>
          <w:sz w:val="24"/>
        </w:rPr>
        <w:t>and no severance shall be paid. If Employee does not revoke this agreement, payment of the severance pay amount set forth in the Employee’s Executive Agreement will be paid in the manner and at the time(s) described in the Executive Agreement.</w:t>
      </w:r>
    </w:p>
    <w:p>
      <w:pPr>
        <w:pStyle w:val="TextBody"/>
        <w:bidi w:val="0"/>
        <w:spacing w:lineRule="auto" w:line="266" w:before="0" w:after="3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read, understand and do voluntarily execute this Separation Agreement and General Release which consists of [NUMBER] pages.</w:t>
      </w:r>
    </w:p>
    <w:tbl>
      <w:tblPr>
        <w:tblW w:w="2838" w:type="dxa"/>
        <w:jc w:val="left"/>
        <w:tblInd w:w="0" w:type="dxa"/>
        <w:tblLayout w:type="fixed"/>
        <w:tblCellMar>
          <w:top w:w="28" w:type="dxa"/>
          <w:left w:w="28" w:type="dxa"/>
          <w:bottom w:w="28" w:type="dxa"/>
          <w:right w:w="28" w:type="dxa"/>
        </w:tblCellMar>
      </w:tblPr>
      <w:tblGrid>
        <w:gridCol w:w="200"/>
        <w:gridCol w:w="177"/>
        <w:gridCol w:w="178"/>
        <w:gridCol w:w="128"/>
        <w:gridCol w:w="128"/>
        <w:gridCol w:w="128"/>
        <w:gridCol w:w="128"/>
        <w:gridCol w:w="128"/>
        <w:gridCol w:w="130"/>
        <w:gridCol w:w="109"/>
        <w:gridCol w:w="109"/>
        <w:gridCol w:w="109"/>
        <w:gridCol w:w="184"/>
        <w:gridCol w:w="184"/>
        <w:gridCol w:w="184"/>
        <w:gridCol w:w="184"/>
        <w:gridCol w:w="184"/>
        <w:gridCol w:w="2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63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Jay A. Snowden,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63" w:type="dxa"/>
        <w:jc w:val="right"/>
        <w:tblInd w:w="0" w:type="dxa"/>
        <w:tblLayout w:type="fixed"/>
        <w:tblCellMar>
          <w:top w:w="28" w:type="dxa"/>
          <w:left w:w="28" w:type="dxa"/>
          <w:bottom w:w="28" w:type="dxa"/>
          <w:right w:w="28" w:type="dxa"/>
        </w:tblCellMar>
      </w:tblPr>
      <w:tblGrid>
        <w:gridCol w:w="200"/>
        <w:gridCol w:w="177"/>
        <w:gridCol w:w="178"/>
        <w:gridCol w:w="534"/>
        <w:gridCol w:w="534"/>
        <w:gridCol w:w="536"/>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Felicia R. Hendrix,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598" w:type="dxa"/>
        <w:jc w:val="right"/>
        <w:tblInd w:w="0" w:type="dxa"/>
        <w:tblLayout w:type="fixed"/>
        <w:tblCellMar>
          <w:top w:w="28" w:type="dxa"/>
          <w:left w:w="28" w:type="dxa"/>
          <w:bottom w:w="28" w:type="dxa"/>
          <w:right w:w="28" w:type="dxa"/>
        </w:tblCellMar>
      </w:tblPr>
      <w:tblGrid>
        <w:gridCol w:w="200"/>
        <w:gridCol w:w="177"/>
        <w:gridCol w:w="178"/>
        <w:gridCol w:w="534"/>
        <w:gridCol w:w="534"/>
        <w:gridCol w:w="53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PENN Entertainment, Inc. (the “Company”) on Form 10-Q for the quarter ended September 30, 2025 as filed with the U.S. Securities and Exchange Commission on the date hereof (the “Report”), I, Jay A. Snowden, Chief Executive Officer and President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163" w:type="dxa"/>
        <w:jc w:val="right"/>
        <w:tblInd w:w="0" w:type="dxa"/>
        <w:tblLayout w:type="fixed"/>
        <w:tblCellMar>
          <w:top w:w="28" w:type="dxa"/>
          <w:left w:w="28" w:type="dxa"/>
          <w:bottom w:w="28" w:type="dxa"/>
          <w:right w:w="28" w:type="dxa"/>
        </w:tblCellMar>
      </w:tblPr>
      <w:tblGrid>
        <w:gridCol w:w="200"/>
        <w:gridCol w:w="177"/>
        <w:gridCol w:w="178"/>
        <w:gridCol w:w="534"/>
        <w:gridCol w:w="534"/>
        <w:gridCol w:w="536"/>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PENN Entertainment, Inc. (the “Company”) on Form 10-Q for the quarter ended September 30, 2025 as filed with the U.S. Securities and Exchange Commission on the date hereof (the “Report”), I, Felicia R. Hendrix, Executive Vice President and Chief Financial Officer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598" w:type="dxa"/>
        <w:jc w:val="right"/>
        <w:tblInd w:w="0" w:type="dxa"/>
        <w:tblLayout w:type="fixed"/>
        <w:tblCellMar>
          <w:top w:w="28" w:type="dxa"/>
          <w:left w:w="28" w:type="dxa"/>
          <w:bottom w:w="28" w:type="dxa"/>
          <w:right w:w="28" w:type="dxa"/>
        </w:tblCellMar>
      </w:tblPr>
      <w:tblGrid>
        <w:gridCol w:w="200"/>
        <w:gridCol w:w="177"/>
        <w:gridCol w:w="178"/>
        <w:gridCol w:w="534"/>
        <w:gridCol w:w="534"/>
        <w:gridCol w:w="53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738/000092173825000040/pennex41-q32025.htm" TargetMode="External"/><Relationship Id="rId3" Type="http://schemas.openxmlformats.org/officeDocument/2006/relationships/hyperlink" Target="https://www.sec.gov/Archives/edgar/data/921738/000092173825000040/pennex41-q32025.htm" TargetMode="External"/><Relationship Id="rId4" Type="http://schemas.openxmlformats.org/officeDocument/2006/relationships/hyperlink" Target="https://www.sec.gov/Archives/edgar/data/921738/000092173825000040/pennex41-q32025.htm" TargetMode="External"/><Relationship Id="rId5" Type="http://schemas.openxmlformats.org/officeDocument/2006/relationships/hyperlink" Target="https://www.sec.gov/Archives/edgar/data/921738/000092173825000040/pennex41-q32025.htm" TargetMode="External"/><Relationship Id="rId6" Type="http://schemas.openxmlformats.org/officeDocument/2006/relationships/hyperlink" Target="https://www.sec.gov/Archives/edgar/data/921738/000092173825000040/pennex41-q32025.htm" TargetMode="External"/><Relationship Id="rId7" Type="http://schemas.openxmlformats.org/officeDocument/2006/relationships/hyperlink" Target="https://www.sec.gov/Archives/edgar/data/921738/000092173825000040/pennex41-q32025.htm" TargetMode="External"/><Relationship Id="rId8" Type="http://schemas.openxmlformats.org/officeDocument/2006/relationships/hyperlink" Target="https://www.sec.gov/Archives/edgar/data/921738/000092173825000040/pennex41-q32025.htm" TargetMode="External"/><Relationship Id="rId9" Type="http://schemas.openxmlformats.org/officeDocument/2006/relationships/hyperlink" Target="https://www.sec.gov/Archives/edgar/data/921738/000092173825000040/pennex41-q32025.htm" TargetMode="External"/><Relationship Id="rId10" Type="http://schemas.openxmlformats.org/officeDocument/2006/relationships/hyperlink" Target="https://www.sec.gov/Archives/edgar/data/921738/000092173825000040/pennex41-q32025.htm" TargetMode="External"/><Relationship Id="rId11" Type="http://schemas.openxmlformats.org/officeDocument/2006/relationships/hyperlink" Target="https://www.sec.gov/Archives/edgar/data/921738/000092173825000040/pennex41-q32025.htm" TargetMode="External"/><Relationship Id="rId12" Type="http://schemas.openxmlformats.org/officeDocument/2006/relationships/hyperlink" Target="https://www.sec.gov/Archives/edgar/data/921738/000092173825000040/pennex41-q32025.htm" TargetMode="External"/><Relationship Id="rId13" Type="http://schemas.openxmlformats.org/officeDocument/2006/relationships/hyperlink" Target="https://www.sec.gov/Archives/edgar/data/921738/000092173825000040/pennex41-q32025.htm" TargetMode="External"/><Relationship Id="rId14" Type="http://schemas.openxmlformats.org/officeDocument/2006/relationships/hyperlink" Target="https://www.sec.gov/Archives/edgar/data/921738/000092173825000040/pennex41-q32025.htm" TargetMode="External"/><Relationship Id="rId15" Type="http://schemas.openxmlformats.org/officeDocument/2006/relationships/hyperlink" Target="https://www.sec.gov/Archives/edgar/data/921738/000092173825000040/pennex41-q32025.htm" TargetMode="External"/><Relationship Id="rId16" Type="http://schemas.openxmlformats.org/officeDocument/2006/relationships/hyperlink" Target="https://www.sec.gov/Archives/edgar/data/921738/000092173825000040/pennex41-q32025.htm" TargetMode="External"/><Relationship Id="rId17" Type="http://schemas.openxmlformats.org/officeDocument/2006/relationships/hyperlink" Target="https://www.sec.gov/Archives/edgar/data/921738/000092173825000040/pennex41-q32025.htm" TargetMode="External"/><Relationship Id="rId18" Type="http://schemas.openxmlformats.org/officeDocument/2006/relationships/hyperlink" Target="https://www.sec.gov/Archives/edgar/data/921738/000092173825000029/pennex10206302025.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45717</Words>
  <Characters>254550</Characters>
  <CharactersWithSpaces>297199</CharactersWithSpaces>
  <Paragraphs>5309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